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09B" w:rsidRPr="00795CEF" w:rsidRDefault="00A9409B" w:rsidP="00A9409B">
      <w:pPr>
        <w:rPr>
          <w:lang w:val="en-GB"/>
        </w:rPr>
      </w:pPr>
    </w:p>
    <w:p w:rsidR="00A9409B" w:rsidRPr="00795CEF" w:rsidRDefault="00A9409B" w:rsidP="00A9409B">
      <w:pPr>
        <w:rPr>
          <w:lang w:val="en-GB"/>
        </w:rPr>
      </w:pPr>
    </w:p>
    <w:p w:rsidR="001013CE" w:rsidRPr="001013CE" w:rsidRDefault="001013CE" w:rsidP="001013CE">
      <w:pPr>
        <w:spacing w:line="360" w:lineRule="auto"/>
        <w:jc w:val="center"/>
        <w:rPr>
          <w:b/>
          <w:sz w:val="32"/>
          <w:lang w:val="en-GB"/>
        </w:rPr>
      </w:pPr>
      <w:r w:rsidRPr="001013CE">
        <w:rPr>
          <w:b/>
          <w:sz w:val="32"/>
          <w:lang w:val="en-GB"/>
        </w:rPr>
        <w:t xml:space="preserve">Determining spatial TFP disparities across the Spanish NUTS3 regions before the economic crisis: </w:t>
      </w:r>
    </w:p>
    <w:p w:rsidR="00893C47" w:rsidRPr="001013CE" w:rsidRDefault="001013CE" w:rsidP="001013CE">
      <w:pPr>
        <w:spacing w:line="360" w:lineRule="auto"/>
        <w:jc w:val="center"/>
        <w:rPr>
          <w:sz w:val="32"/>
          <w:lang w:val="en-GB"/>
        </w:rPr>
      </w:pPr>
      <w:r w:rsidRPr="001013CE">
        <w:rPr>
          <w:b/>
          <w:sz w:val="32"/>
          <w:lang w:val="en-GB"/>
        </w:rPr>
        <w:t>The role of the capital spillovers</w:t>
      </w:r>
    </w:p>
    <w:p w:rsidR="001013CE" w:rsidRPr="001013CE" w:rsidRDefault="001013CE" w:rsidP="00795CEF">
      <w:pPr>
        <w:rPr>
          <w:b/>
          <w:lang w:val="en-GB"/>
        </w:rPr>
      </w:pPr>
    </w:p>
    <w:p w:rsidR="00795CEF" w:rsidRDefault="001013CE" w:rsidP="00795CEF">
      <w:pPr>
        <w:rPr>
          <w:b/>
        </w:rPr>
      </w:pPr>
      <w:r w:rsidRPr="001013CE">
        <w:rPr>
          <w:b/>
        </w:rPr>
        <w:t>MAROTO SÁNCHEZ, ANDRÉS (</w:t>
      </w:r>
      <w:hyperlink r:id="rId7" w:history="1">
        <w:r w:rsidRPr="001013CE">
          <w:rPr>
            <w:rStyle w:val="Hipervnculo"/>
            <w:b/>
          </w:rPr>
          <w:t>andres.maroto@uam.es</w:t>
        </w:r>
      </w:hyperlink>
      <w:r w:rsidRPr="001013CE">
        <w:rPr>
          <w:b/>
        </w:rPr>
        <w:t xml:space="preserve">) </w:t>
      </w:r>
    </w:p>
    <w:p w:rsidR="001013CE" w:rsidRPr="001013CE" w:rsidRDefault="001013CE" w:rsidP="00795CEF">
      <w:pPr>
        <w:rPr>
          <w:b/>
        </w:rPr>
      </w:pPr>
      <w:r>
        <w:rPr>
          <w:b/>
        </w:rPr>
        <w:t>GARCÍA ALONSO, GUILLERMO (</w:t>
      </w:r>
      <w:hyperlink r:id="rId8" w:history="1">
        <w:r w:rsidRPr="00E543A8">
          <w:rPr>
            <w:rStyle w:val="Hipervnculo"/>
            <w:b/>
          </w:rPr>
          <w:t>gga_2804@yahoo.es</w:t>
        </w:r>
      </w:hyperlink>
      <w:r>
        <w:rPr>
          <w:b/>
        </w:rPr>
        <w:t xml:space="preserve">) </w:t>
      </w:r>
    </w:p>
    <w:p w:rsidR="00795CEF" w:rsidRPr="001013CE" w:rsidRDefault="00795CEF" w:rsidP="00795CEF">
      <w:pPr>
        <w:rPr>
          <w:b/>
        </w:rPr>
      </w:pPr>
    </w:p>
    <w:p w:rsidR="00795CEF" w:rsidRPr="001013CE" w:rsidRDefault="00795CEF" w:rsidP="00795CEF">
      <w:pPr>
        <w:rPr>
          <w:b/>
        </w:rPr>
      </w:pPr>
    </w:p>
    <w:p w:rsidR="00795CEF" w:rsidRPr="00F22434" w:rsidRDefault="00795CEF" w:rsidP="00795CEF">
      <w:pPr>
        <w:rPr>
          <w:lang w:val="en-GB"/>
        </w:rPr>
      </w:pPr>
      <w:r w:rsidRPr="00F22434">
        <w:rPr>
          <w:b/>
          <w:lang w:val="en-GB"/>
        </w:rPr>
        <w:t xml:space="preserve">Department: </w:t>
      </w:r>
      <w:r w:rsidR="001013CE">
        <w:rPr>
          <w:b/>
          <w:lang w:val="en-GB"/>
        </w:rPr>
        <w:t>Economic Analysis: Economic Theory and Economic History</w:t>
      </w:r>
    </w:p>
    <w:p w:rsidR="00795CEF" w:rsidRPr="00F22434" w:rsidRDefault="00795CEF" w:rsidP="00795CEF">
      <w:pPr>
        <w:rPr>
          <w:b/>
          <w:lang w:val="en-GB"/>
        </w:rPr>
      </w:pPr>
    </w:p>
    <w:p w:rsidR="00795CEF" w:rsidRPr="001013CE" w:rsidRDefault="00795CEF" w:rsidP="00795CEF">
      <w:r w:rsidRPr="001013CE">
        <w:rPr>
          <w:b/>
        </w:rPr>
        <w:t xml:space="preserve">University: </w:t>
      </w:r>
      <w:r w:rsidR="001013CE" w:rsidRPr="001013CE">
        <w:rPr>
          <w:b/>
        </w:rPr>
        <w:t>Universidad Autónoma de Madrid</w:t>
      </w:r>
    </w:p>
    <w:p w:rsidR="00795CEF" w:rsidRPr="001013CE" w:rsidRDefault="00795CEF" w:rsidP="00795CEF">
      <w:pPr>
        <w:rPr>
          <w:b/>
        </w:rPr>
      </w:pPr>
    </w:p>
    <w:p w:rsidR="00795CEF" w:rsidRPr="001013CE" w:rsidRDefault="00795CEF" w:rsidP="00795CEF">
      <w:pPr>
        <w:rPr>
          <w:b/>
        </w:rPr>
      </w:pPr>
    </w:p>
    <w:p w:rsidR="00795CEF" w:rsidRPr="001013CE" w:rsidRDefault="00795CEF" w:rsidP="00795CEF">
      <w:pPr>
        <w:rPr>
          <w:i/>
        </w:rPr>
      </w:pPr>
      <w:r w:rsidRPr="001013CE">
        <w:rPr>
          <w:b/>
        </w:rPr>
        <w:t xml:space="preserve">Subject area: </w:t>
      </w:r>
      <w:r w:rsidR="001013CE" w:rsidRPr="001013CE">
        <w:rPr>
          <w:i/>
        </w:rPr>
        <w:t>Análisis económico espacial, métodos de análisis regional y econometría espacia</w:t>
      </w:r>
      <w:r w:rsidR="001013CE">
        <w:rPr>
          <w:i/>
        </w:rPr>
        <w:t>l</w:t>
      </w:r>
    </w:p>
    <w:p w:rsidR="00795CEF" w:rsidRPr="001013CE" w:rsidRDefault="00795CEF" w:rsidP="00795CEF">
      <w:pPr>
        <w:rPr>
          <w:b/>
        </w:rPr>
      </w:pPr>
    </w:p>
    <w:p w:rsidR="00795CEF" w:rsidRPr="001013CE" w:rsidRDefault="00795CEF" w:rsidP="00795CEF">
      <w:pPr>
        <w:rPr>
          <w:b/>
        </w:rPr>
      </w:pPr>
    </w:p>
    <w:p w:rsidR="00795CEF" w:rsidRPr="00F22434" w:rsidRDefault="00795CEF" w:rsidP="00795CEF">
      <w:pPr>
        <w:rPr>
          <w:i/>
          <w:lang w:val="en-GB"/>
        </w:rPr>
      </w:pPr>
      <w:r w:rsidRPr="00F22434">
        <w:rPr>
          <w:b/>
          <w:lang w:val="en-GB"/>
        </w:rPr>
        <w:t>Abstract:</w:t>
      </w:r>
      <w:r w:rsidRPr="00F22434">
        <w:rPr>
          <w:i/>
          <w:lang w:val="en-GB"/>
        </w:rPr>
        <w:t xml:space="preserve"> </w:t>
      </w:r>
    </w:p>
    <w:p w:rsidR="00795CEF" w:rsidRPr="001013CE" w:rsidRDefault="001013CE" w:rsidP="001013CE">
      <w:pPr>
        <w:jc w:val="both"/>
        <w:rPr>
          <w:sz w:val="22"/>
          <w:lang w:val="en-GB"/>
        </w:rPr>
      </w:pPr>
      <w:r w:rsidRPr="001013CE">
        <w:rPr>
          <w:sz w:val="22"/>
          <w:lang w:val="en-GB"/>
        </w:rPr>
        <w:t>Improvements in Total Factor Productivity are always associated to economic development. For this reason, the study of TFP is a central topic in economics. More recently, emphasis shifted towards explaining regional inequalities. This is especially important for Spain, whose regions are performing poorly since the mid-90s. To date, every analysis of the productivity of Spanish regions have neglected the key role of geography. To fulfil this lack of research, a measure of Total Factor Productivity (TFP) is derived based on the estimation of Spatial Lag Models for a panel of the Autonomous Communities (1991-2012) and Provinces (1995-2008) of Spain, using data from De la Fuente (2015a; 2015b) and the National Institute of Statistics (INE), respectively. Subsequently, we explore the effects of human capital, knowledge capital and public capital on productivity following a similar methodology. After controlling for spatial autocorrelation, all variables have a positive significant effect on the regional levels of TFP. Furthermore, the results suggest that the spillovers of knowledge capital and public capital are important determinants of the disparities in TFP across Spanish regions. Lastly, we analyse the distance range within which productivity spillovers have their major influence. Particularly, most of the diffusion of productivity takes place between bordering regions.</w:t>
      </w:r>
    </w:p>
    <w:p w:rsidR="00795CEF" w:rsidRPr="00F22434" w:rsidRDefault="00795CEF" w:rsidP="00795CEF">
      <w:pPr>
        <w:rPr>
          <w:b/>
          <w:lang w:val="en-GB"/>
        </w:rPr>
      </w:pPr>
    </w:p>
    <w:p w:rsidR="00795CEF" w:rsidRPr="00F22434" w:rsidRDefault="00795CEF" w:rsidP="00795CEF">
      <w:pPr>
        <w:rPr>
          <w:b/>
          <w:lang w:val="en-GB"/>
        </w:rPr>
      </w:pPr>
    </w:p>
    <w:p w:rsidR="00795CEF" w:rsidRPr="00F22434" w:rsidRDefault="00795CEF" w:rsidP="00795CEF">
      <w:pPr>
        <w:rPr>
          <w:i/>
          <w:lang w:val="en-GB"/>
        </w:rPr>
      </w:pPr>
      <w:r w:rsidRPr="00F22434">
        <w:rPr>
          <w:b/>
          <w:lang w:val="en-GB"/>
        </w:rPr>
        <w:t>K</w:t>
      </w:r>
      <w:r w:rsidR="009B7500">
        <w:rPr>
          <w:b/>
          <w:lang w:val="en-GB"/>
        </w:rPr>
        <w:t>ey</w:t>
      </w:r>
      <w:r w:rsidRPr="00F22434">
        <w:rPr>
          <w:b/>
          <w:lang w:val="en-GB"/>
        </w:rPr>
        <w:t>words:</w:t>
      </w:r>
      <w:r>
        <w:rPr>
          <w:i/>
          <w:lang w:val="en-GB"/>
        </w:rPr>
        <w:t xml:space="preserve"> </w:t>
      </w:r>
      <w:r w:rsidR="001013CE" w:rsidRPr="001013CE">
        <w:rPr>
          <w:i/>
          <w:lang w:val="en-GB"/>
        </w:rPr>
        <w:t xml:space="preserve">Total Factor Productivity, </w:t>
      </w:r>
      <w:r w:rsidR="001013CE">
        <w:rPr>
          <w:i/>
          <w:lang w:val="en-GB"/>
        </w:rPr>
        <w:t>Spain, NUTS3</w:t>
      </w:r>
      <w:r w:rsidR="001013CE" w:rsidRPr="001013CE">
        <w:rPr>
          <w:i/>
          <w:lang w:val="en-GB"/>
        </w:rPr>
        <w:t>, Spatial Lag Model, Spillovers</w:t>
      </w:r>
    </w:p>
    <w:p w:rsidR="00795CEF" w:rsidRPr="001013CE" w:rsidRDefault="00795CEF" w:rsidP="00795CEF">
      <w:pPr>
        <w:rPr>
          <w:b/>
        </w:rPr>
      </w:pPr>
      <w:r w:rsidRPr="001013CE">
        <w:rPr>
          <w:b/>
        </w:rPr>
        <w:t xml:space="preserve">JEL codes: </w:t>
      </w:r>
      <w:r w:rsidR="001013CE" w:rsidRPr="001013CE">
        <w:t>C21, C23, C31, 047, R11</w:t>
      </w:r>
    </w:p>
    <w:p w:rsidR="00A9409B" w:rsidRPr="001013CE" w:rsidRDefault="00A9409B" w:rsidP="00A9409B"/>
    <w:p w:rsidR="00A9409B" w:rsidRPr="001013CE" w:rsidRDefault="00A9409B" w:rsidP="00A9409B">
      <w:pPr>
        <w:spacing w:line="600" w:lineRule="auto"/>
      </w:pPr>
    </w:p>
    <w:p w:rsidR="00A9409B" w:rsidRPr="001013CE" w:rsidRDefault="00A9409B" w:rsidP="00A9409B">
      <w:pPr>
        <w:spacing w:line="600" w:lineRule="auto"/>
      </w:pPr>
    </w:p>
    <w:p w:rsidR="00075019" w:rsidRPr="001013CE" w:rsidRDefault="00075019" w:rsidP="00787F68">
      <w:pPr>
        <w:spacing w:line="360" w:lineRule="auto"/>
        <w:jc w:val="both"/>
        <w:rPr>
          <w:b/>
        </w:rPr>
        <w:sectPr w:rsidR="00075019" w:rsidRPr="001013CE" w:rsidSect="00893C47">
          <w:headerReference w:type="default" r:id="rId9"/>
          <w:pgSz w:w="11906" w:h="16838"/>
          <w:pgMar w:top="2977" w:right="1701" w:bottom="568" w:left="1701" w:header="708" w:footer="708" w:gutter="0"/>
          <w:cols w:space="708"/>
          <w:docGrid w:linePitch="360"/>
        </w:sectPr>
      </w:pPr>
    </w:p>
    <w:p w:rsidR="001013CE" w:rsidRPr="001013CE" w:rsidRDefault="001013CE" w:rsidP="001013CE">
      <w:pPr>
        <w:keepNext/>
        <w:keepLines/>
        <w:numPr>
          <w:ilvl w:val="0"/>
          <w:numId w:val="1"/>
        </w:numPr>
        <w:spacing w:before="120" w:after="120" w:line="360" w:lineRule="auto"/>
        <w:jc w:val="both"/>
        <w:outlineLvl w:val="0"/>
        <w:rPr>
          <w:b/>
          <w:color w:val="000000"/>
          <w:lang w:val="en-GB" w:eastAsia="en-US"/>
        </w:rPr>
      </w:pPr>
      <w:bookmarkStart w:id="0" w:name="_Toc446283067"/>
      <w:bookmarkStart w:id="1" w:name="_Toc448256121"/>
      <w:r w:rsidRPr="001013CE">
        <w:rPr>
          <w:b/>
          <w:color w:val="000000"/>
          <w:lang w:val="en-GB" w:eastAsia="en-US"/>
        </w:rPr>
        <w:lastRenderedPageBreak/>
        <w:t>Introduction</w:t>
      </w:r>
      <w:bookmarkEnd w:id="0"/>
      <w:bookmarkEnd w:id="1"/>
    </w:p>
    <w:p w:rsidR="001013CE" w:rsidRPr="001013CE" w:rsidRDefault="001013CE" w:rsidP="001013CE">
      <w:pPr>
        <w:spacing w:before="120" w:after="120" w:line="360" w:lineRule="auto"/>
        <w:ind w:firstLine="357"/>
        <w:jc w:val="both"/>
        <w:rPr>
          <w:rFonts w:eastAsia="Calibri"/>
          <w:sz w:val="22"/>
          <w:lang w:val="en-GB" w:eastAsia="en-US"/>
        </w:rPr>
      </w:pPr>
      <w:r w:rsidRPr="001013CE">
        <w:rPr>
          <w:rFonts w:eastAsia="Calibri"/>
          <w:sz w:val="22"/>
          <w:lang w:val="en-GB" w:eastAsia="en-US"/>
        </w:rPr>
        <w:t>The study of Total Factor Productivity (TFP) is a key issue for economic researchers and policy makers. The primary reason is that TFP enhancements are always associated to processes of economic growth. More approaches that are recent have placed special emphasis on explaining inequalities within a country. This has been favoured by the availability of new and more reliable regional data, as well as the rising concern of authorities in reducing the gap. The problem is particularly critical for Spain since the country is going through decades of low productivity growth relative to other EU countries, problem that also remains widespread across regions. Although this fact is highlighted by multiple authors (De la Fuente, 2002; Cuadrado and Maroto, 2012), none of them considers the statistical influence of the spatial patterns that are present in the data. To fulfil such lack of empirical research, this paper addresses the estimation of TFP levels and the analysis of their determinants for the Spanish regions, explicitly controlling for the presence of spatial dependence.</w:t>
      </w:r>
    </w:p>
    <w:p w:rsidR="001013CE" w:rsidRPr="001013CE" w:rsidRDefault="001013CE" w:rsidP="001013CE">
      <w:pPr>
        <w:spacing w:before="120" w:after="120" w:line="360" w:lineRule="auto"/>
        <w:ind w:firstLine="357"/>
        <w:jc w:val="both"/>
        <w:rPr>
          <w:rFonts w:eastAsia="Calibri"/>
          <w:sz w:val="22"/>
          <w:lang w:val="en-GB" w:eastAsia="en-US"/>
        </w:rPr>
      </w:pPr>
      <w:r w:rsidRPr="001013CE">
        <w:rPr>
          <w:rFonts w:eastAsia="Calibri"/>
          <w:sz w:val="22"/>
          <w:lang w:val="en-GB" w:eastAsia="en-US"/>
        </w:rPr>
        <w:t xml:space="preserve"> According to the spatial econometrics literature, the omission of the spatial relationships existing within the sample seriously affects the consistency of the estimates. Ignoring the impact of spillovers thus has severe implications for the analysis of TFP: the effects of a region’s intrinsic characteristics might be overestimated, since the contribution from the outside factors is neglected. This is the case for the Spanish regions. A glance at the geographical distribution of the variables involved in the production process reveals a strong tendency towards clustering. Moreover, the potential determinants of the remaining TFP gap show a similar agglomeration pattern. Accordingly, an important part of the regional TFP and income level would be originated from the outside. </w:t>
      </w:r>
    </w:p>
    <w:p w:rsidR="001013CE" w:rsidRPr="001013CE" w:rsidRDefault="001013CE" w:rsidP="001013CE">
      <w:pPr>
        <w:spacing w:before="120" w:after="120" w:line="360" w:lineRule="auto"/>
        <w:ind w:firstLine="357"/>
        <w:jc w:val="both"/>
        <w:rPr>
          <w:rFonts w:eastAsia="Calibri"/>
          <w:sz w:val="22"/>
          <w:lang w:val="en-GB" w:eastAsia="en-US"/>
        </w:rPr>
      </w:pPr>
      <w:r w:rsidRPr="001013CE">
        <w:rPr>
          <w:rFonts w:eastAsia="Calibri"/>
          <w:sz w:val="22"/>
          <w:lang w:val="en-GB" w:eastAsia="en-US"/>
        </w:rPr>
        <w:t xml:space="preserve">Within this context, the objective of this paper is twofold: First, to derive a consistent measure of TFP based on the estimation of the production functions using spatial econometrics techniques. The research hypothesis is that controlling for spatial autocorrelation when estimating TFP raises the consistency of the measurement. Secondly, we disentangle the role played by human, knowledge and public capital in explaining TFP disparities across Spanish regions. In particular, two research hypotheses will be contrasted: i) Productivity is the main actor explaining regional differences in the Spanish economy; and ii) Capital spillovers account for more the combined contribution from inputs in the production process. </w:t>
      </w:r>
    </w:p>
    <w:p w:rsidR="001013CE" w:rsidRPr="001013CE" w:rsidRDefault="001013CE" w:rsidP="001013CE">
      <w:pPr>
        <w:spacing w:before="120" w:after="120" w:line="360" w:lineRule="auto"/>
        <w:ind w:firstLine="357"/>
        <w:jc w:val="both"/>
        <w:rPr>
          <w:rFonts w:eastAsia="Calibri"/>
          <w:sz w:val="22"/>
          <w:lang w:val="en-GB" w:eastAsia="en-US"/>
        </w:rPr>
      </w:pPr>
      <w:r w:rsidRPr="001013CE">
        <w:rPr>
          <w:rFonts w:eastAsia="Calibri"/>
          <w:sz w:val="22"/>
          <w:lang w:val="en-GB" w:eastAsia="en-US"/>
        </w:rPr>
        <w:t xml:space="preserve">The empirical procedure is as follows. First, the production functions are estimated through Spatial Lag Models using data on value added, productive capital, labour units and geographic distances between regions for the Spanish provinces during the period 1995-2008, corresponding to the </w:t>
      </w:r>
      <w:r w:rsidRPr="001013CE">
        <w:rPr>
          <w:rFonts w:eastAsia="Calibri"/>
          <w:i/>
          <w:sz w:val="22"/>
          <w:lang w:val="en-GB" w:eastAsia="en-US"/>
        </w:rPr>
        <w:t>pre-crisis</w:t>
      </w:r>
      <w:r w:rsidRPr="001013CE">
        <w:rPr>
          <w:rFonts w:eastAsia="Calibri"/>
          <w:sz w:val="22"/>
          <w:lang w:val="en-GB" w:eastAsia="en-US"/>
        </w:rPr>
        <w:t xml:space="preserve"> years. Previously, the underlying presence of spatial dependence patterns in the data is revealed using spatial analysis techniques. Then using the estimation of TFP, and a purely numeric index as dependent variables, the effects of human capital, knowledge capital and public </w:t>
      </w:r>
      <w:r w:rsidRPr="001013CE">
        <w:rPr>
          <w:rFonts w:eastAsia="Calibri"/>
          <w:sz w:val="22"/>
          <w:lang w:val="en-GB" w:eastAsia="en-US"/>
        </w:rPr>
        <w:lastRenderedPageBreak/>
        <w:t>capital on regional productivity levels are investigated. Since spatial dependence is identified in the variables selected as determinants of TFP, again the estimation method requires controlling for it.</w:t>
      </w:r>
    </w:p>
    <w:p w:rsidR="001013CE" w:rsidRPr="001013CE" w:rsidRDefault="001013CE" w:rsidP="001013CE">
      <w:pPr>
        <w:spacing w:before="120" w:after="120" w:line="360" w:lineRule="auto"/>
        <w:ind w:firstLine="357"/>
        <w:jc w:val="both"/>
        <w:rPr>
          <w:rFonts w:eastAsia="Calibri"/>
          <w:color w:val="000000"/>
          <w:sz w:val="22"/>
          <w:lang w:val="en-GB" w:eastAsia="en-US"/>
        </w:rPr>
      </w:pPr>
      <w:r w:rsidRPr="001013CE">
        <w:rPr>
          <w:rFonts w:eastAsia="Calibri"/>
          <w:color w:val="000000"/>
          <w:sz w:val="22"/>
          <w:lang w:val="en-GB" w:eastAsia="en-US"/>
        </w:rPr>
        <w:t xml:space="preserve">The key finding is that spillovers account for roughly two times the combined contribution from capital and labour in the production process, once spatial autocorrelation is properly controlled. Therefore, geography has a major influence in determining income and productivity disparities across the Spanish territory. Moreover, the main factors that have a positive impact on regional productivity levels are human capital and particularly, knowledge capital. The latter, measured in terms of patents, plays the most significant role in determining the productivity of a region, especially when its effects arise from the outside. Besides, human capital also has a positive significant effect, although it is not spatially dependent. Furthermore, the results suggest that productivity spillovers could have almost no influence over areas located more than 400 km away. Indeed, the results suggest that most of the effect from productivity spillovers arise between adjacent regions. </w:t>
      </w:r>
    </w:p>
    <w:p w:rsidR="001013CE" w:rsidRPr="001013CE" w:rsidRDefault="001013CE" w:rsidP="001013CE">
      <w:pPr>
        <w:spacing w:before="120" w:after="120" w:line="360" w:lineRule="auto"/>
        <w:ind w:firstLine="357"/>
        <w:jc w:val="both"/>
        <w:rPr>
          <w:rFonts w:eastAsia="Calibri"/>
          <w:sz w:val="22"/>
          <w:lang w:val="en-GB" w:eastAsia="en-US"/>
        </w:rPr>
      </w:pPr>
      <w:r w:rsidRPr="001013CE">
        <w:rPr>
          <w:rFonts w:eastAsia="Calibri"/>
          <w:sz w:val="22"/>
          <w:lang w:val="en-GB" w:eastAsia="en-US"/>
        </w:rPr>
        <w:t>The structure of this paper is outlined below. Section 2 reviews the economic literature about the study of TFP and its determinants at the country and regional levels, and introduces some concepts in spatial econometrics. Subsequently, the methodology applied for measuring TFP is described in section 3. Section 4 addresses the descriptive analysis of the variables, how the data is spatially distributed and other statistical issues. Then, section 5 discusses the results from the production function estimation and the derived TFP measures. Section 6 provides the description of the data on the determinants, and the estimates of its role in explain regional differences in TFP. Finally, section 7 summarizes the conclusions extracted from the whole analysis.</w:t>
      </w:r>
    </w:p>
    <w:p w:rsidR="001013CE" w:rsidRPr="001013CE" w:rsidRDefault="001013CE" w:rsidP="001013CE">
      <w:pPr>
        <w:spacing w:before="120" w:after="120" w:line="360" w:lineRule="auto"/>
        <w:ind w:firstLine="357"/>
        <w:jc w:val="both"/>
        <w:rPr>
          <w:rFonts w:eastAsia="Calibri"/>
          <w:sz w:val="22"/>
          <w:lang w:val="en-GB" w:eastAsia="en-US"/>
        </w:rPr>
      </w:pPr>
    </w:p>
    <w:p w:rsidR="001013CE" w:rsidRPr="001013CE" w:rsidRDefault="001013CE" w:rsidP="001013CE">
      <w:pPr>
        <w:keepNext/>
        <w:keepLines/>
        <w:numPr>
          <w:ilvl w:val="0"/>
          <w:numId w:val="1"/>
        </w:numPr>
        <w:spacing w:before="120" w:after="120" w:line="360" w:lineRule="auto"/>
        <w:jc w:val="both"/>
        <w:outlineLvl w:val="0"/>
        <w:rPr>
          <w:b/>
          <w:color w:val="000000"/>
          <w:lang w:val="en-GB" w:eastAsia="en-US"/>
        </w:rPr>
      </w:pPr>
      <w:bookmarkStart w:id="2" w:name="_Toc446283068"/>
      <w:bookmarkStart w:id="3" w:name="_Toc448256122"/>
      <w:r w:rsidRPr="001013CE">
        <w:rPr>
          <w:b/>
          <w:color w:val="000000"/>
          <w:lang w:val="en-GB" w:eastAsia="en-US"/>
        </w:rPr>
        <w:t>Literature review</w:t>
      </w:r>
      <w:bookmarkEnd w:id="2"/>
      <w:bookmarkEnd w:id="3"/>
    </w:p>
    <w:p w:rsidR="001013CE" w:rsidRPr="001013CE" w:rsidRDefault="001013CE" w:rsidP="001013CE">
      <w:pPr>
        <w:spacing w:before="120" w:after="120" w:line="360" w:lineRule="auto"/>
        <w:ind w:firstLine="357"/>
        <w:jc w:val="both"/>
        <w:rPr>
          <w:rFonts w:eastAsia="Calibri"/>
          <w:sz w:val="22"/>
          <w:lang w:val="en-GB" w:eastAsia="en-US"/>
        </w:rPr>
      </w:pPr>
      <w:r w:rsidRPr="001013CE">
        <w:rPr>
          <w:rFonts w:eastAsia="Calibri"/>
          <w:sz w:val="22"/>
          <w:lang w:val="en-GB" w:eastAsia="en-US"/>
        </w:rPr>
        <w:t>The measure of productivity</w:t>
      </w:r>
      <w:r w:rsidRPr="001013CE">
        <w:rPr>
          <w:rFonts w:eastAsia="Calibri"/>
          <w:sz w:val="22"/>
          <w:vertAlign w:val="superscript"/>
          <w:lang w:val="en-GB" w:eastAsia="en-US"/>
        </w:rPr>
        <w:footnoteReference w:id="1"/>
      </w:r>
      <w:r w:rsidRPr="001013CE">
        <w:rPr>
          <w:rFonts w:eastAsia="Calibri"/>
          <w:sz w:val="22"/>
          <w:lang w:val="en-GB" w:eastAsia="en-US"/>
        </w:rPr>
        <w:t xml:space="preserve"> is a central question in empirical economics since productivity developments are always present in any process of economic growth. Indeed, a significant part of the income gap among countries and regions responds to differences in TFP, both in growth rates and levels (Hall and Jones, 1996 and 1999; Klenow and Rodriguez-Clare, 2005; Caselli, 2005; Gehrinzer et al., 2013). Focusing on the Spanish case, several works point out that the level of productivity, and mainly TFP, in Spain remains behind the levels of the majority of European countries and the USA (Domenech, 2008; Cuadrado and Maroto, 2012). This low performance of TFP is observed at the regional level too (De la Fuente, 2002; González-Páramo and Martínez-López, 2003).</w:t>
      </w:r>
    </w:p>
    <w:p w:rsidR="001013CE" w:rsidRPr="001013CE" w:rsidRDefault="001013CE" w:rsidP="001013CE">
      <w:pPr>
        <w:spacing w:before="120" w:after="120" w:line="360" w:lineRule="auto"/>
        <w:ind w:firstLine="357"/>
        <w:jc w:val="both"/>
        <w:rPr>
          <w:rFonts w:eastAsia="Calibri"/>
          <w:sz w:val="22"/>
          <w:lang w:val="en-GB" w:eastAsia="en-US"/>
        </w:rPr>
      </w:pPr>
      <w:r w:rsidRPr="001013CE">
        <w:rPr>
          <w:rFonts w:eastAsia="Calibri"/>
          <w:sz w:val="22"/>
          <w:lang w:val="en-GB" w:eastAsia="en-US"/>
        </w:rPr>
        <w:lastRenderedPageBreak/>
        <w:t xml:space="preserve">In fact, the study of productivity at regional level has gained importance through the improvements in the availability and quality of regional data, and the increasing interest in policies directed towards reducing regional gaps (ONS, 2007). Ascari and Di Cosmo (2004) explore the determinants of TFP in the Italian regions. Using dynamic and static panel data estimation techniques, they show that R&amp;D expenditures and human capital have a noteworthy influence over the regional levels of TFP, unlike other factors, such as ICT expenditure that is scarcely related to TFP. </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lang w:val="en-GB" w:eastAsia="en-US"/>
        </w:rPr>
        <w:t>Finally, according to Magrini (2004) the models in regional studies that treat regions in the same way as countries might be incorrectly specified. The reason is that economic barriers are virtually inexistent at the regional level, fact that calls for the inclusion of geographical effects in the model. Recently, there is a rise</w:t>
      </w:r>
      <w:r w:rsidRPr="001013CE">
        <w:rPr>
          <w:rFonts w:eastAsia="Calibri"/>
          <w:sz w:val="22"/>
          <w:vertAlign w:val="superscript"/>
          <w:lang w:val="en-GB" w:eastAsia="en-US"/>
        </w:rPr>
        <w:footnoteReference w:id="2"/>
      </w:r>
      <w:r w:rsidRPr="001013CE">
        <w:rPr>
          <w:rFonts w:eastAsia="Calibri"/>
          <w:sz w:val="22"/>
          <w:lang w:val="en-GB" w:eastAsia="en-US"/>
        </w:rPr>
        <w:t xml:space="preserve"> in the number of analyses of regional inequality or convergence that implements the methods from the field of Spatial Econometrics (Anselin, 2010).</w:t>
      </w:r>
      <w:r w:rsidRPr="001013CE">
        <w:rPr>
          <w:rFonts w:eastAsia="Calibri"/>
          <w:sz w:val="22"/>
          <w:szCs w:val="22"/>
          <w:lang w:val="en-GB" w:eastAsia="en-US"/>
        </w:rPr>
        <w:t xml:space="preserve"> For instance, convergence in GDP per capita for a panel of European regions can be analysed using models that include the spatial lag of the dependent variable or the spatially lagged error term (Fingleton and Lopez-Bazo, 2006). Paas and Vahi (2012) apply a similar framework to investigate regional inequality and growth using a sample of EU countries and regions at the NUTS3 level. Their main finding is that growth spillovers are not likely to transcend country boundaries, but rather to act between regions. Moreover, Arbia (2006) suggests that using different administrative aggregation levels in the analysis may severely alter the results</w:t>
      </w:r>
      <w:r w:rsidRPr="001013CE">
        <w:rPr>
          <w:rFonts w:eastAsia="Calibri"/>
          <w:sz w:val="22"/>
          <w:szCs w:val="22"/>
          <w:vertAlign w:val="superscript"/>
          <w:lang w:val="en-GB" w:eastAsia="en-US"/>
        </w:rPr>
        <w:footnoteReference w:id="3"/>
      </w:r>
      <w:r w:rsidRPr="001013CE">
        <w:rPr>
          <w:rFonts w:eastAsia="Calibri"/>
          <w:sz w:val="22"/>
          <w:szCs w:val="22"/>
          <w:lang w:val="en-GB" w:eastAsia="en-US"/>
        </w:rPr>
        <w:t>. Di Liberto and Usai (2013) approach the problem of spatial dependence through the inclusion of a contiguity weights matrix in the model. According to Arbia and Fingleton (2006), among other common applications, spatial regression is used to study land prices or education inequalities.</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 xml:space="preserve">However, the studies in spatial econometrics that analyse regional inequality in TFP and its determinants are still scarce. The work that resembles the most to this paper is Dettori et al. (2012). Using spatial lags models, they estimate a traditional Cobb-Douglas production function in order to obtain a measure of TFP for a panel of 199 European regions during the period 1985-2006. Then, with the help of a similar model for a cross section of year 2004, they found evidence on the significant role of the ‘intangible assets’ (human capital, technological capital, knowledge capital and social capital) in explaining TFP disparities across regions. Moreover, Bronzini and Piselli (2009) test the long run relationship between the levels of TFP, human capital, R&amp;D capital, and public infrastructures for a panel of the Italian regions from 1980 to 2001, including </w:t>
      </w:r>
      <w:r w:rsidRPr="001013CE">
        <w:rPr>
          <w:rFonts w:eastAsia="Calibri"/>
          <w:sz w:val="22"/>
          <w:szCs w:val="22"/>
          <w:lang w:val="en-GB" w:eastAsia="en-US"/>
        </w:rPr>
        <w:lastRenderedPageBreak/>
        <w:t>spatial effects and departing from a standard Cobb-Douglas production function. They find a positive relation between TFP and the three forms of capital.</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Moreover, LeSage and Fischer (2009) build a TFP index as the ratio of gross value added over the combined stock of capital and labour in order to estimate the effect of knowledge capital, expressed in patents, using Spatial Lags models. They found significant effects of knowledge capital, which are positively related to spatial proximity. Recently, Bos et al. (2014) use Spatial Lag Model to estimate productivity spillovers between Indian manufacturing firms including data on headquarters location. Finally, Caliendo and Parro (2015) estimate TFP levels across sectors and regions for the US economy, to show the important effects of spatial dependence on welfare and productivity. Particularly, they found that interregional and inter-sectorial trade linkages have an important role in the diffusion of changes in productivity.</w:t>
      </w:r>
    </w:p>
    <w:p w:rsidR="001013CE" w:rsidRPr="001013CE" w:rsidRDefault="001013CE" w:rsidP="001013CE">
      <w:pPr>
        <w:spacing w:before="120" w:after="120" w:line="360" w:lineRule="auto"/>
        <w:ind w:firstLine="357"/>
        <w:jc w:val="both"/>
        <w:rPr>
          <w:rFonts w:eastAsia="Calibri"/>
          <w:sz w:val="22"/>
          <w:szCs w:val="22"/>
          <w:lang w:val="en-GB" w:eastAsia="en-US"/>
        </w:rPr>
      </w:pPr>
    </w:p>
    <w:p w:rsidR="001013CE" w:rsidRPr="001013CE" w:rsidRDefault="001013CE" w:rsidP="001013CE">
      <w:pPr>
        <w:keepNext/>
        <w:keepLines/>
        <w:numPr>
          <w:ilvl w:val="0"/>
          <w:numId w:val="1"/>
        </w:numPr>
        <w:spacing w:before="120" w:after="120" w:line="360" w:lineRule="auto"/>
        <w:jc w:val="both"/>
        <w:outlineLvl w:val="0"/>
        <w:rPr>
          <w:b/>
          <w:color w:val="000000"/>
          <w:lang w:val="en-GB" w:eastAsia="en-US"/>
        </w:rPr>
      </w:pPr>
      <w:bookmarkStart w:id="4" w:name="_Toc446283072"/>
      <w:bookmarkStart w:id="5" w:name="_Toc448256126"/>
      <w:r w:rsidRPr="001013CE">
        <w:rPr>
          <w:b/>
          <w:color w:val="000000"/>
          <w:lang w:val="en-GB" w:eastAsia="en-US"/>
        </w:rPr>
        <w:t>Methodology: Measuring T</w:t>
      </w:r>
      <w:bookmarkEnd w:id="4"/>
      <w:r w:rsidRPr="001013CE">
        <w:rPr>
          <w:b/>
          <w:color w:val="000000"/>
          <w:lang w:val="en-GB" w:eastAsia="en-US"/>
        </w:rPr>
        <w:t>FP</w:t>
      </w:r>
      <w:bookmarkEnd w:id="5"/>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t>Productivity is commonly defined as the quotient between output and inputs. Usually the choice of the optimal expression for productivity depends on the purpose of the researcher and the availability of data. In its simplest expression, output is related to one input, commonly labour. Thus, all workers are incorrectly assumed to share the same characteristics, affecting the overall analysis of efficiency. When both capital and labour are included in the denominator, the resulting relation is known as</w:t>
      </w:r>
      <w:r w:rsidRPr="001013CE">
        <w:rPr>
          <w:rFonts w:eastAsia="Calibri"/>
          <w:sz w:val="22"/>
          <w:szCs w:val="22"/>
          <w:vertAlign w:val="superscript"/>
          <w:lang w:val="en-GB" w:eastAsia="en-US"/>
        </w:rPr>
        <w:footnoteReference w:id="4"/>
      </w:r>
      <w:r w:rsidRPr="001013CE">
        <w:rPr>
          <w:rFonts w:eastAsia="Calibri"/>
          <w:sz w:val="22"/>
          <w:szCs w:val="22"/>
          <w:lang w:val="en-GB" w:eastAsia="en-US"/>
        </w:rPr>
        <w:t xml:space="preserve"> Multi-Factor Productivity (MFP) or TFP (ONS, 2007). When interpreted most broadly, the concept of TFP refers to the contribution from all unobservable inputs to the production process, or simply as a residual (Comín, 2006). </w:t>
      </w:r>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t xml:space="preserve">In the present study, the problem of measuring TFP is faced through two different approaches. The first method consists of a numeric TFP index built under the assumption of constant returns to scale using value added, capital stock and labour. This is a common assumption in the in the literature on TFP, especially in papers exploring its determinants (Hall and Jones, 1999; Ascari and Di Cosmo, 2005; among others). Moreover, this calculation is used in the present study in order to investigate the spatial interactions of productivity and particularly, to analyse the determinants of TFP in presence of spatial autocorrelation (section 6). </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The relationship between the variables within the traditional neoclassical framework is defined by equation 1:</w:t>
      </w:r>
    </w:p>
    <w:p w:rsidR="001013CE" w:rsidRPr="001013CE" w:rsidRDefault="001013CE" w:rsidP="001013CE">
      <w:pPr>
        <w:spacing w:before="240" w:after="240" w:line="360" w:lineRule="auto"/>
        <w:ind w:firstLine="357"/>
        <w:jc w:val="center"/>
        <w:rPr>
          <w:i/>
          <w:iCs/>
          <w:color w:val="44546A"/>
          <w:sz w:val="22"/>
          <w:szCs w:val="22"/>
          <w:lang w:val="en-GB" w:eastAsia="en-US"/>
        </w:rPr>
      </w:pPr>
      <m:oMath>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VA</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TFP</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 xml:space="preserve"> F(</m:t>
        </m:r>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K</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 xml:space="preserve">, </m:t>
        </m:r>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L</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oMath>
      <w:r w:rsidRPr="001013CE">
        <w:rPr>
          <w:i/>
          <w:iCs/>
          <w:color w:val="44546A"/>
          <w:sz w:val="22"/>
          <w:szCs w:val="22"/>
          <w:lang w:val="en-GB" w:eastAsia="en-US"/>
        </w:rPr>
        <w:tab/>
      </w:r>
      <w:r w:rsidRPr="001013CE">
        <w:rPr>
          <w:i/>
          <w:iCs/>
          <w:color w:val="44546A"/>
          <w:sz w:val="22"/>
          <w:szCs w:val="22"/>
          <w:lang w:val="en-GB" w:eastAsia="en-US"/>
        </w:rPr>
        <w:tab/>
      </w:r>
      <w:r w:rsidRPr="001013CE">
        <w:rPr>
          <w:i/>
          <w:iCs/>
          <w:color w:val="44546A"/>
          <w:sz w:val="22"/>
          <w:szCs w:val="22"/>
          <w:lang w:val="en-GB" w:eastAsia="en-US"/>
        </w:rPr>
        <w:tab/>
      </w:r>
      <w:r w:rsidRPr="001013CE">
        <w:rPr>
          <w:i/>
          <w:iCs/>
          <w:color w:val="44546A"/>
          <w:sz w:val="22"/>
          <w:szCs w:val="22"/>
          <w:lang w:val="en-GB" w:eastAsia="en-US"/>
        </w:rPr>
        <w:tab/>
      </w:r>
      <w:r w:rsidRPr="001013CE">
        <w:rPr>
          <w:rFonts w:eastAsia="Calibri"/>
          <w:iCs/>
          <w:color w:val="000000"/>
          <w:sz w:val="22"/>
          <w:szCs w:val="22"/>
          <w:lang w:val="en-GB" w:eastAsia="en-US"/>
        </w:rPr>
        <w:t xml:space="preserve">( </w:t>
      </w:r>
      <w:r w:rsidRPr="001013CE">
        <w:rPr>
          <w:rFonts w:eastAsia="Calibri"/>
          <w:iCs/>
          <w:color w:val="000000"/>
          <w:sz w:val="22"/>
          <w:szCs w:val="22"/>
          <w:lang w:val="en-GB" w:eastAsia="en-US"/>
        </w:rPr>
        <w:fldChar w:fldCharType="begin"/>
      </w:r>
      <w:r w:rsidRPr="001013CE">
        <w:rPr>
          <w:rFonts w:eastAsia="Calibri"/>
          <w:iCs/>
          <w:color w:val="000000"/>
          <w:sz w:val="22"/>
          <w:szCs w:val="22"/>
          <w:lang w:val="en-GB" w:eastAsia="en-US"/>
        </w:rPr>
        <w:instrText xml:space="preserve"> SEQ ( \* ARABIC </w:instrText>
      </w:r>
      <w:r w:rsidRPr="001013CE">
        <w:rPr>
          <w:rFonts w:eastAsia="Calibri"/>
          <w:iCs/>
          <w:color w:val="000000"/>
          <w:sz w:val="22"/>
          <w:szCs w:val="22"/>
          <w:lang w:val="en-GB" w:eastAsia="en-US"/>
        </w:rPr>
        <w:fldChar w:fldCharType="separate"/>
      </w:r>
      <w:r w:rsidRPr="001013CE">
        <w:rPr>
          <w:rFonts w:eastAsia="Calibri"/>
          <w:iCs/>
          <w:noProof/>
          <w:color w:val="000000"/>
          <w:sz w:val="22"/>
          <w:szCs w:val="22"/>
          <w:lang w:val="en-GB" w:eastAsia="en-US"/>
        </w:rPr>
        <w:t>1</w:t>
      </w:r>
      <w:r w:rsidRPr="001013CE">
        <w:rPr>
          <w:rFonts w:eastAsia="Calibri"/>
          <w:iCs/>
          <w:color w:val="000000"/>
          <w:sz w:val="22"/>
          <w:szCs w:val="22"/>
          <w:lang w:val="en-GB" w:eastAsia="en-US"/>
        </w:rPr>
        <w:fldChar w:fldCharType="end"/>
      </w:r>
      <w:r w:rsidRPr="001013CE">
        <w:rPr>
          <w:rFonts w:eastAsia="Calibri"/>
          <w:iCs/>
          <w:color w:val="000000"/>
          <w:sz w:val="22"/>
          <w:szCs w:val="22"/>
          <w:lang w:val="en-GB" w:eastAsia="en-US"/>
        </w:rPr>
        <w:t xml:space="preserve"> )</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lastRenderedPageBreak/>
        <w:t xml:space="preserve">Where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VA</m:t>
            </m:r>
          </m:e>
          <m:sub>
            <m:r>
              <w:rPr>
                <w:rFonts w:ascii="Cambria Math" w:eastAsia="Calibri" w:hAnsi="Cambria Math"/>
                <w:sz w:val="22"/>
                <w:szCs w:val="22"/>
                <w:lang w:val="en-GB" w:eastAsia="en-US"/>
              </w:rPr>
              <m:t>rt</m:t>
            </m:r>
          </m:sub>
        </m:sSub>
      </m:oMath>
      <w:r w:rsidRPr="001013CE">
        <w:rPr>
          <w:sz w:val="22"/>
          <w:szCs w:val="22"/>
          <w:lang w:val="en-GB" w:eastAsia="en-US"/>
        </w:rPr>
        <w:t xml:space="preserve"> is the value added at constant prices for the region </w:t>
      </w:r>
      <w:r w:rsidRPr="001013CE">
        <w:rPr>
          <w:i/>
          <w:sz w:val="22"/>
          <w:szCs w:val="22"/>
          <w:lang w:val="en-GB" w:eastAsia="en-US"/>
        </w:rPr>
        <w:t>r</w:t>
      </w:r>
      <w:r w:rsidRPr="001013CE">
        <w:rPr>
          <w:sz w:val="22"/>
          <w:szCs w:val="22"/>
          <w:lang w:val="en-GB" w:eastAsia="en-US"/>
        </w:rPr>
        <w:t xml:space="preserve"> in the year </w:t>
      </w:r>
      <w:r w:rsidRPr="001013CE">
        <w:rPr>
          <w:i/>
          <w:sz w:val="22"/>
          <w:szCs w:val="22"/>
          <w:lang w:val="en-GB" w:eastAsia="en-US"/>
        </w:rPr>
        <w:t>t</w:t>
      </w:r>
      <w:r w:rsidRPr="001013CE">
        <w:rPr>
          <w:sz w:val="22"/>
          <w:szCs w:val="22"/>
          <w:lang w:val="en-GB" w:eastAsia="en-US"/>
        </w:rPr>
        <w:t xml:space="preserve">,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K</m:t>
            </m:r>
          </m:e>
          <m:sub>
            <m:r>
              <w:rPr>
                <w:rFonts w:ascii="Cambria Math" w:eastAsia="Calibri" w:hAnsi="Cambria Math"/>
                <w:sz w:val="22"/>
                <w:szCs w:val="22"/>
                <w:lang w:val="en-GB" w:eastAsia="en-US"/>
              </w:rPr>
              <m:t>rt</m:t>
            </m:r>
          </m:sub>
        </m:sSub>
      </m:oMath>
      <w:r w:rsidRPr="001013CE">
        <w:rPr>
          <w:sz w:val="22"/>
          <w:szCs w:val="22"/>
          <w:lang w:val="en-GB" w:eastAsia="en-US"/>
        </w:rPr>
        <w:t xml:space="preserve"> is the stock of productive capital at constant prices and,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L</m:t>
            </m:r>
          </m:e>
          <m:sub>
            <m:r>
              <w:rPr>
                <w:rFonts w:ascii="Cambria Math" w:eastAsia="Calibri" w:hAnsi="Cambria Math"/>
                <w:sz w:val="22"/>
                <w:szCs w:val="22"/>
                <w:lang w:val="en-GB" w:eastAsia="en-US"/>
              </w:rPr>
              <m:t>rt</m:t>
            </m:r>
          </m:sub>
        </m:sSub>
      </m:oMath>
      <w:r w:rsidRPr="001013CE">
        <w:rPr>
          <w:sz w:val="22"/>
          <w:szCs w:val="22"/>
          <w:lang w:val="en-GB" w:eastAsia="en-US"/>
        </w:rPr>
        <w:t xml:space="preserve"> is labour units. In order to compute a TFP index, the last expression</w:t>
      </w:r>
      <w:r w:rsidRPr="001013CE">
        <w:rPr>
          <w:rFonts w:eastAsia="Calibri"/>
          <w:sz w:val="22"/>
          <w:szCs w:val="22"/>
          <w:lang w:val="en-GB" w:eastAsia="en-US"/>
        </w:rPr>
        <w:t xml:space="preserve"> takes the form of a standard Cobb-Douglas production function (equation 2):</w:t>
      </w:r>
    </w:p>
    <w:p w:rsidR="001013CE" w:rsidRPr="001013CE" w:rsidRDefault="001013CE" w:rsidP="001013CE">
      <w:pPr>
        <w:spacing w:before="240" w:after="240"/>
        <w:ind w:firstLine="357"/>
        <w:jc w:val="center"/>
        <w:rPr>
          <w:i/>
          <w:iCs/>
          <w:color w:val="44546A"/>
          <w:sz w:val="22"/>
          <w:szCs w:val="22"/>
          <w:lang w:val="en-GB" w:eastAsia="en-US"/>
        </w:rPr>
      </w:pPr>
      <m:oMath>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VA</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TFP</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 xml:space="preserve"> </m:t>
        </m:r>
        <m:sSubSup>
          <m:sSubSupPr>
            <m:ctrlPr>
              <w:rPr>
                <w:rFonts w:ascii="Cambria Math" w:eastAsia="Calibri" w:hAnsi="Cambria Math"/>
                <w:i/>
                <w:iCs/>
                <w:color w:val="000000"/>
                <w:sz w:val="22"/>
                <w:szCs w:val="22"/>
                <w:lang w:val="en-GB" w:eastAsia="en-US"/>
              </w:rPr>
            </m:ctrlPr>
          </m:sSubSupPr>
          <m:e>
            <m:r>
              <w:rPr>
                <w:rFonts w:ascii="Cambria Math" w:eastAsia="Calibri" w:hAnsi="Cambria Math"/>
                <w:color w:val="000000"/>
                <w:sz w:val="22"/>
                <w:szCs w:val="22"/>
                <w:lang w:val="en-GB" w:eastAsia="en-US"/>
              </w:rPr>
              <m:t>K</m:t>
            </m:r>
          </m:e>
          <m:sub>
            <m:r>
              <w:rPr>
                <w:rFonts w:ascii="Cambria Math" w:eastAsia="Calibri" w:hAnsi="Cambria Math"/>
                <w:color w:val="000000"/>
                <w:sz w:val="22"/>
                <w:szCs w:val="22"/>
                <w:lang w:val="en-GB" w:eastAsia="en-US"/>
              </w:rPr>
              <m:t>rt</m:t>
            </m:r>
          </m:sub>
          <m:sup>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α</m:t>
                </m:r>
              </m:e>
              <m:sub>
                <m:r>
                  <w:rPr>
                    <w:rFonts w:ascii="Cambria Math" w:eastAsia="Calibri" w:hAnsi="Cambria Math"/>
                    <w:color w:val="000000"/>
                    <w:sz w:val="22"/>
                    <w:szCs w:val="22"/>
                    <w:lang w:val="en-GB" w:eastAsia="en-US"/>
                  </w:rPr>
                  <m:t>r</m:t>
                </m:r>
              </m:sub>
            </m:sSub>
          </m:sup>
        </m:sSubSup>
        <m:r>
          <w:rPr>
            <w:rFonts w:ascii="Cambria Math" w:eastAsia="Calibri" w:hAnsi="Cambria Math"/>
            <w:color w:val="000000"/>
            <w:sz w:val="22"/>
            <w:szCs w:val="22"/>
            <w:lang w:val="en-GB" w:eastAsia="en-US"/>
          </w:rPr>
          <m:t xml:space="preserve"> </m:t>
        </m:r>
        <m:sSubSup>
          <m:sSubSupPr>
            <m:ctrlPr>
              <w:rPr>
                <w:rFonts w:ascii="Cambria Math" w:eastAsia="Calibri" w:hAnsi="Cambria Math"/>
                <w:i/>
                <w:iCs/>
                <w:color w:val="000000"/>
                <w:sz w:val="22"/>
                <w:szCs w:val="22"/>
                <w:lang w:val="en-GB" w:eastAsia="en-US"/>
              </w:rPr>
            </m:ctrlPr>
          </m:sSubSupPr>
          <m:e>
            <m:r>
              <w:rPr>
                <w:rFonts w:ascii="Cambria Math" w:eastAsia="Calibri" w:hAnsi="Cambria Math"/>
                <w:color w:val="000000"/>
                <w:sz w:val="22"/>
                <w:szCs w:val="22"/>
                <w:lang w:val="en-GB" w:eastAsia="en-US"/>
              </w:rPr>
              <m:t>L</m:t>
            </m:r>
          </m:e>
          <m:sub>
            <m:r>
              <w:rPr>
                <w:rFonts w:ascii="Cambria Math" w:eastAsia="Calibri" w:hAnsi="Cambria Math"/>
                <w:color w:val="000000"/>
                <w:sz w:val="22"/>
                <w:szCs w:val="22"/>
                <w:lang w:val="en-GB" w:eastAsia="en-US"/>
              </w:rPr>
              <m:t>rt</m:t>
            </m:r>
          </m:sub>
          <m:sup>
            <m:r>
              <w:rPr>
                <w:rFonts w:ascii="Cambria Math" w:eastAsia="Calibri" w:hAnsi="Cambria Math"/>
                <w:color w:val="000000"/>
                <w:sz w:val="22"/>
                <w:szCs w:val="22"/>
                <w:lang w:val="en-GB" w:eastAsia="en-US"/>
              </w:rPr>
              <m:t>1-</m:t>
            </m:r>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α</m:t>
                </m:r>
              </m:e>
              <m:sub>
                <m:r>
                  <w:rPr>
                    <w:rFonts w:ascii="Cambria Math" w:eastAsia="Calibri" w:hAnsi="Cambria Math"/>
                    <w:color w:val="000000"/>
                    <w:sz w:val="22"/>
                    <w:szCs w:val="22"/>
                    <w:lang w:val="en-GB" w:eastAsia="en-US"/>
                  </w:rPr>
                  <m:t>r</m:t>
                </m:r>
              </m:sub>
            </m:sSub>
          </m:sup>
        </m:sSubSup>
      </m:oMath>
      <w:r w:rsidRPr="001013CE">
        <w:rPr>
          <w:i/>
          <w:iCs/>
          <w:color w:val="44546A"/>
          <w:sz w:val="22"/>
          <w:szCs w:val="22"/>
          <w:lang w:val="en-GB" w:eastAsia="en-US"/>
        </w:rPr>
        <w:tab/>
      </w:r>
      <w:r w:rsidRPr="001013CE">
        <w:rPr>
          <w:i/>
          <w:iCs/>
          <w:color w:val="44546A"/>
          <w:sz w:val="22"/>
          <w:szCs w:val="22"/>
          <w:lang w:val="en-GB" w:eastAsia="en-US"/>
        </w:rPr>
        <w:tab/>
      </w:r>
      <w:r w:rsidRPr="001013CE">
        <w:rPr>
          <w:i/>
          <w:iCs/>
          <w:color w:val="44546A"/>
          <w:sz w:val="22"/>
          <w:szCs w:val="22"/>
          <w:lang w:val="en-GB" w:eastAsia="en-US"/>
        </w:rPr>
        <w:tab/>
      </w:r>
      <w:r w:rsidRPr="001013CE">
        <w:rPr>
          <w:i/>
          <w:iCs/>
          <w:color w:val="000000"/>
          <w:sz w:val="22"/>
          <w:szCs w:val="22"/>
          <w:lang w:val="en-GB" w:eastAsia="en-US"/>
        </w:rPr>
        <w:tab/>
      </w:r>
      <w:r w:rsidRPr="001013CE">
        <w:rPr>
          <w:rFonts w:eastAsia="Calibri"/>
          <w:iCs/>
          <w:color w:val="000000"/>
          <w:sz w:val="22"/>
          <w:szCs w:val="22"/>
          <w:lang w:val="en-GB" w:eastAsia="en-US"/>
        </w:rPr>
        <w:t xml:space="preserve">( </w:t>
      </w:r>
      <w:r w:rsidRPr="001013CE">
        <w:rPr>
          <w:rFonts w:eastAsia="Calibri"/>
          <w:iCs/>
          <w:color w:val="000000"/>
          <w:sz w:val="22"/>
          <w:szCs w:val="22"/>
          <w:lang w:val="en-GB" w:eastAsia="en-US"/>
        </w:rPr>
        <w:fldChar w:fldCharType="begin"/>
      </w:r>
      <w:r w:rsidRPr="001013CE">
        <w:rPr>
          <w:rFonts w:eastAsia="Calibri"/>
          <w:iCs/>
          <w:color w:val="000000"/>
          <w:sz w:val="22"/>
          <w:szCs w:val="22"/>
          <w:lang w:val="en-GB" w:eastAsia="en-US"/>
        </w:rPr>
        <w:instrText xml:space="preserve"> SEQ ( \* ARABIC </w:instrText>
      </w:r>
      <w:r w:rsidRPr="001013CE">
        <w:rPr>
          <w:rFonts w:eastAsia="Calibri"/>
          <w:iCs/>
          <w:color w:val="000000"/>
          <w:sz w:val="22"/>
          <w:szCs w:val="22"/>
          <w:lang w:val="en-GB" w:eastAsia="en-US"/>
        </w:rPr>
        <w:fldChar w:fldCharType="separate"/>
      </w:r>
      <w:r w:rsidRPr="001013CE">
        <w:rPr>
          <w:rFonts w:eastAsia="Calibri"/>
          <w:iCs/>
          <w:noProof/>
          <w:color w:val="000000"/>
          <w:sz w:val="22"/>
          <w:szCs w:val="22"/>
          <w:lang w:val="en-GB" w:eastAsia="en-US"/>
        </w:rPr>
        <w:t>2</w:t>
      </w:r>
      <w:r w:rsidRPr="001013CE">
        <w:rPr>
          <w:rFonts w:eastAsia="Calibri"/>
          <w:iCs/>
          <w:color w:val="000000"/>
          <w:sz w:val="22"/>
          <w:szCs w:val="22"/>
          <w:lang w:val="en-GB" w:eastAsia="en-US"/>
        </w:rPr>
        <w:fldChar w:fldCharType="end"/>
      </w:r>
      <w:r w:rsidRPr="001013CE">
        <w:rPr>
          <w:rFonts w:eastAsia="Calibri"/>
          <w:iCs/>
          <w:color w:val="000000"/>
          <w:sz w:val="22"/>
          <w:szCs w:val="22"/>
          <w:lang w:val="en-GB" w:eastAsia="en-US"/>
        </w:rPr>
        <w:t xml:space="preserve"> )</w:t>
      </w:r>
    </w:p>
    <w:p w:rsidR="001013CE" w:rsidRPr="001013CE" w:rsidRDefault="001013CE" w:rsidP="001013CE">
      <w:pPr>
        <w:spacing w:before="120" w:after="120" w:line="360" w:lineRule="auto"/>
        <w:ind w:firstLine="357"/>
        <w:jc w:val="both"/>
        <w:rPr>
          <w:sz w:val="22"/>
          <w:szCs w:val="22"/>
          <w:lang w:val="en-GB" w:eastAsia="en-US"/>
        </w:rPr>
      </w:pPr>
      <w:r w:rsidRPr="001013CE">
        <w:rPr>
          <w:sz w:val="22"/>
          <w:szCs w:val="22"/>
          <w:lang w:val="en-GB" w:eastAsia="en-US"/>
        </w:rPr>
        <w:t xml:space="preserve">Now, </w:t>
      </w:r>
      <m:oMath>
        <m:sSub>
          <m:sSubPr>
            <m:ctrlPr>
              <w:rPr>
                <w:rFonts w:ascii="Cambria Math" w:hAnsi="Cambria Math"/>
                <w:i/>
                <w:sz w:val="22"/>
                <w:szCs w:val="22"/>
                <w:lang w:val="en-GB" w:eastAsia="en-US"/>
              </w:rPr>
            </m:ctrlPr>
          </m:sSubPr>
          <m:e>
            <m:r>
              <w:rPr>
                <w:rFonts w:ascii="Cambria Math" w:hAnsi="Cambria Math"/>
                <w:sz w:val="22"/>
                <w:szCs w:val="22"/>
                <w:lang w:val="en-GB" w:eastAsia="en-US"/>
              </w:rPr>
              <m:t>α</m:t>
            </m:r>
          </m:e>
          <m:sub>
            <m:r>
              <w:rPr>
                <w:rFonts w:ascii="Cambria Math" w:hAnsi="Cambria Math"/>
                <w:sz w:val="22"/>
                <w:szCs w:val="22"/>
                <w:lang w:val="en-GB" w:eastAsia="en-US"/>
              </w:rPr>
              <m:t>r</m:t>
            </m:r>
          </m:sub>
        </m:sSub>
      </m:oMath>
      <w:r w:rsidRPr="001013CE">
        <w:rPr>
          <w:sz w:val="22"/>
          <w:szCs w:val="22"/>
          <w:lang w:val="en-GB" w:eastAsia="en-US"/>
        </w:rPr>
        <w:t xml:space="preserve"> is the elasticity of output (</w:t>
      </w:r>
      <w:r w:rsidRPr="001013CE">
        <w:rPr>
          <w:i/>
          <w:sz w:val="22"/>
          <w:szCs w:val="22"/>
          <w:lang w:val="en-GB" w:eastAsia="en-US"/>
        </w:rPr>
        <w:t>GVA</w:t>
      </w:r>
      <w:r w:rsidRPr="001013CE">
        <w:rPr>
          <w:sz w:val="22"/>
          <w:szCs w:val="22"/>
          <w:lang w:val="en-GB" w:eastAsia="en-US"/>
        </w:rPr>
        <w:t xml:space="preserve">) to changes in the workforce in the region </w:t>
      </w:r>
      <w:r w:rsidRPr="001013CE">
        <w:rPr>
          <w:i/>
          <w:sz w:val="22"/>
          <w:szCs w:val="22"/>
          <w:lang w:val="en-GB" w:eastAsia="en-US"/>
        </w:rPr>
        <w:t>r</w:t>
      </w:r>
      <w:r w:rsidRPr="001013CE">
        <w:rPr>
          <w:sz w:val="22"/>
          <w:szCs w:val="22"/>
          <w:lang w:val="en-GB" w:eastAsia="en-US"/>
        </w:rPr>
        <w:t xml:space="preserve"> and it is assumed to be constant. Leaving the TFP term alone on one side, the final expression for productivity (equation 3) is obtained:</w:t>
      </w:r>
    </w:p>
    <w:p w:rsidR="001013CE" w:rsidRPr="001013CE" w:rsidRDefault="001013CE" w:rsidP="001013CE">
      <w:pPr>
        <w:spacing w:before="240" w:after="240" w:line="360" w:lineRule="auto"/>
        <w:ind w:firstLine="357"/>
        <w:jc w:val="center"/>
        <w:rPr>
          <w:iCs/>
          <w:color w:val="44546A"/>
          <w:sz w:val="22"/>
          <w:szCs w:val="22"/>
          <w:lang w:val="en-GB" w:eastAsia="en-US"/>
        </w:rPr>
      </w:pPr>
      <m:oMath>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TFP</m:t>
            </m:r>
          </m:e>
          <m:sub>
            <m:r>
              <w:rPr>
                <w:rFonts w:ascii="Cambria Math" w:eastAsia="Calibri" w:hAnsi="Cambria Math"/>
                <w:color w:val="000000"/>
                <w:sz w:val="22"/>
                <w:szCs w:val="22"/>
                <w:lang w:val="en-GB" w:eastAsia="en-US"/>
              </w:rPr>
              <m:t>rt</m:t>
            </m:r>
          </m:sub>
        </m:sSub>
        <m:r>
          <w:rPr>
            <w:rFonts w:ascii="Cambria Math" w:hAnsi="Cambria Math"/>
            <w:color w:val="000000"/>
            <w:sz w:val="22"/>
            <w:szCs w:val="22"/>
            <w:lang w:val="en-GB" w:eastAsia="en-US"/>
          </w:rPr>
          <m:t>=</m:t>
        </m:r>
        <m:f>
          <m:fPr>
            <m:ctrlPr>
              <w:rPr>
                <w:rFonts w:ascii="Cambria Math" w:hAnsi="Cambria Math"/>
                <w:i/>
                <w:iCs/>
                <w:color w:val="000000"/>
                <w:sz w:val="22"/>
                <w:szCs w:val="22"/>
                <w:lang w:val="en-GB" w:eastAsia="en-US"/>
              </w:rPr>
            </m:ctrlPr>
          </m:fPr>
          <m:num>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VA</m:t>
                </m:r>
              </m:e>
              <m:sub>
                <m:r>
                  <w:rPr>
                    <w:rFonts w:ascii="Cambria Math" w:eastAsia="Calibri" w:hAnsi="Cambria Math"/>
                    <w:color w:val="000000"/>
                    <w:sz w:val="22"/>
                    <w:szCs w:val="22"/>
                    <w:lang w:val="en-GB" w:eastAsia="en-US"/>
                  </w:rPr>
                  <m:t>rt</m:t>
                </m:r>
              </m:sub>
            </m:sSub>
          </m:num>
          <m:den>
            <m:sSubSup>
              <m:sSubSupPr>
                <m:ctrlPr>
                  <w:rPr>
                    <w:rFonts w:ascii="Cambria Math" w:eastAsia="Calibri" w:hAnsi="Cambria Math"/>
                    <w:i/>
                    <w:iCs/>
                    <w:color w:val="000000"/>
                    <w:sz w:val="22"/>
                    <w:szCs w:val="22"/>
                    <w:lang w:val="en-GB" w:eastAsia="en-US"/>
                  </w:rPr>
                </m:ctrlPr>
              </m:sSubSupPr>
              <m:e>
                <m:r>
                  <w:rPr>
                    <w:rFonts w:ascii="Cambria Math" w:eastAsia="Calibri" w:hAnsi="Cambria Math"/>
                    <w:color w:val="000000"/>
                    <w:sz w:val="22"/>
                    <w:szCs w:val="22"/>
                    <w:lang w:val="en-GB" w:eastAsia="en-US"/>
                  </w:rPr>
                  <m:t>K</m:t>
                </m:r>
              </m:e>
              <m:sub>
                <m:r>
                  <w:rPr>
                    <w:rFonts w:ascii="Cambria Math" w:eastAsia="Calibri" w:hAnsi="Cambria Math"/>
                    <w:color w:val="000000"/>
                    <w:sz w:val="22"/>
                    <w:szCs w:val="22"/>
                    <w:lang w:val="en-GB" w:eastAsia="en-US"/>
                  </w:rPr>
                  <m:t>rt</m:t>
                </m:r>
              </m:sub>
              <m:sup>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α</m:t>
                    </m:r>
                  </m:e>
                  <m:sub>
                    <m:r>
                      <w:rPr>
                        <w:rFonts w:ascii="Cambria Math" w:eastAsia="Calibri" w:hAnsi="Cambria Math"/>
                        <w:color w:val="000000"/>
                        <w:sz w:val="22"/>
                        <w:szCs w:val="22"/>
                        <w:lang w:val="en-GB" w:eastAsia="en-US"/>
                      </w:rPr>
                      <m:t>r</m:t>
                    </m:r>
                  </m:sub>
                </m:sSub>
              </m:sup>
            </m:sSubSup>
            <m:r>
              <w:rPr>
                <w:rFonts w:ascii="Cambria Math" w:eastAsia="Calibri" w:hAnsi="Cambria Math"/>
                <w:color w:val="000000"/>
                <w:sz w:val="22"/>
                <w:szCs w:val="22"/>
                <w:lang w:val="en-GB" w:eastAsia="en-US"/>
              </w:rPr>
              <m:t xml:space="preserve"> </m:t>
            </m:r>
            <m:sSubSup>
              <m:sSubSupPr>
                <m:ctrlPr>
                  <w:rPr>
                    <w:rFonts w:ascii="Cambria Math" w:eastAsia="Calibri" w:hAnsi="Cambria Math"/>
                    <w:i/>
                    <w:iCs/>
                    <w:color w:val="000000"/>
                    <w:sz w:val="22"/>
                    <w:szCs w:val="22"/>
                    <w:lang w:val="en-GB" w:eastAsia="en-US"/>
                  </w:rPr>
                </m:ctrlPr>
              </m:sSubSupPr>
              <m:e>
                <m:r>
                  <w:rPr>
                    <w:rFonts w:ascii="Cambria Math" w:eastAsia="Calibri" w:hAnsi="Cambria Math"/>
                    <w:color w:val="000000"/>
                    <w:sz w:val="22"/>
                    <w:szCs w:val="22"/>
                    <w:lang w:val="en-GB" w:eastAsia="en-US"/>
                  </w:rPr>
                  <m:t>L</m:t>
                </m:r>
              </m:e>
              <m:sub>
                <m:r>
                  <w:rPr>
                    <w:rFonts w:ascii="Cambria Math" w:eastAsia="Calibri" w:hAnsi="Cambria Math"/>
                    <w:color w:val="000000"/>
                    <w:sz w:val="22"/>
                    <w:szCs w:val="22"/>
                    <w:lang w:val="en-GB" w:eastAsia="en-US"/>
                  </w:rPr>
                  <m:t>rt</m:t>
                </m:r>
              </m:sub>
              <m:sup>
                <m:r>
                  <w:rPr>
                    <w:rFonts w:ascii="Cambria Math" w:eastAsia="Calibri" w:hAnsi="Cambria Math"/>
                    <w:color w:val="000000"/>
                    <w:sz w:val="22"/>
                    <w:szCs w:val="22"/>
                    <w:lang w:val="en-GB" w:eastAsia="en-US"/>
                  </w:rPr>
                  <m:t>1-</m:t>
                </m:r>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α</m:t>
                    </m:r>
                  </m:e>
                  <m:sub>
                    <m:r>
                      <w:rPr>
                        <w:rFonts w:ascii="Cambria Math" w:eastAsia="Calibri" w:hAnsi="Cambria Math"/>
                        <w:color w:val="000000"/>
                        <w:sz w:val="22"/>
                        <w:szCs w:val="22"/>
                        <w:lang w:val="en-GB" w:eastAsia="en-US"/>
                      </w:rPr>
                      <m:t>r</m:t>
                    </m:r>
                  </m:sub>
                </m:sSub>
              </m:sup>
            </m:sSubSup>
          </m:den>
        </m:f>
      </m:oMath>
      <w:r w:rsidRPr="001013CE">
        <w:rPr>
          <w:i/>
          <w:iCs/>
          <w:color w:val="44546A"/>
          <w:sz w:val="22"/>
          <w:szCs w:val="22"/>
          <w:lang w:val="en-GB" w:eastAsia="en-US"/>
        </w:rPr>
        <w:tab/>
      </w:r>
      <w:r w:rsidRPr="001013CE">
        <w:rPr>
          <w:i/>
          <w:iCs/>
          <w:color w:val="44546A"/>
          <w:sz w:val="22"/>
          <w:szCs w:val="22"/>
          <w:lang w:val="en-GB" w:eastAsia="en-US"/>
        </w:rPr>
        <w:tab/>
      </w:r>
      <w:r w:rsidRPr="001013CE">
        <w:rPr>
          <w:i/>
          <w:iCs/>
          <w:color w:val="44546A"/>
          <w:sz w:val="22"/>
          <w:szCs w:val="22"/>
          <w:lang w:val="en-GB" w:eastAsia="en-US"/>
        </w:rPr>
        <w:tab/>
      </w:r>
      <w:r w:rsidRPr="001013CE">
        <w:rPr>
          <w:i/>
          <w:iCs/>
          <w:color w:val="44546A"/>
          <w:sz w:val="22"/>
          <w:szCs w:val="22"/>
          <w:lang w:val="en-GB" w:eastAsia="en-US"/>
        </w:rPr>
        <w:tab/>
      </w:r>
      <w:r w:rsidRPr="001013CE">
        <w:rPr>
          <w:i/>
          <w:iCs/>
          <w:color w:val="000000"/>
          <w:sz w:val="22"/>
          <w:szCs w:val="22"/>
          <w:lang w:val="en-GB" w:eastAsia="en-US"/>
        </w:rPr>
        <w:tab/>
      </w:r>
      <w:r w:rsidRPr="001013CE">
        <w:rPr>
          <w:rFonts w:eastAsia="Calibri"/>
          <w:iCs/>
          <w:color w:val="000000"/>
          <w:sz w:val="22"/>
          <w:szCs w:val="22"/>
          <w:lang w:val="en-GB" w:eastAsia="en-US"/>
        </w:rPr>
        <w:t xml:space="preserve">( </w:t>
      </w:r>
      <w:r w:rsidRPr="001013CE">
        <w:rPr>
          <w:rFonts w:eastAsia="Calibri"/>
          <w:iCs/>
          <w:color w:val="000000"/>
          <w:sz w:val="22"/>
          <w:szCs w:val="22"/>
          <w:lang w:val="en-GB" w:eastAsia="en-US"/>
        </w:rPr>
        <w:fldChar w:fldCharType="begin"/>
      </w:r>
      <w:r w:rsidRPr="001013CE">
        <w:rPr>
          <w:rFonts w:eastAsia="Calibri"/>
          <w:iCs/>
          <w:color w:val="000000"/>
          <w:sz w:val="22"/>
          <w:szCs w:val="22"/>
          <w:lang w:val="en-GB" w:eastAsia="en-US"/>
        </w:rPr>
        <w:instrText xml:space="preserve"> SEQ ( \* ARABIC </w:instrText>
      </w:r>
      <w:r w:rsidRPr="001013CE">
        <w:rPr>
          <w:rFonts w:eastAsia="Calibri"/>
          <w:iCs/>
          <w:color w:val="000000"/>
          <w:sz w:val="22"/>
          <w:szCs w:val="22"/>
          <w:lang w:val="en-GB" w:eastAsia="en-US"/>
        </w:rPr>
        <w:fldChar w:fldCharType="separate"/>
      </w:r>
      <w:r w:rsidRPr="001013CE">
        <w:rPr>
          <w:rFonts w:eastAsia="Calibri"/>
          <w:iCs/>
          <w:noProof/>
          <w:color w:val="000000"/>
          <w:sz w:val="22"/>
          <w:szCs w:val="22"/>
          <w:lang w:val="en-GB" w:eastAsia="en-US"/>
        </w:rPr>
        <w:t>3</w:t>
      </w:r>
      <w:r w:rsidRPr="001013CE">
        <w:rPr>
          <w:rFonts w:eastAsia="Calibri"/>
          <w:iCs/>
          <w:color w:val="000000"/>
          <w:sz w:val="22"/>
          <w:szCs w:val="22"/>
          <w:lang w:val="en-GB" w:eastAsia="en-US"/>
        </w:rPr>
        <w:fldChar w:fldCharType="end"/>
      </w:r>
      <w:r w:rsidRPr="001013CE">
        <w:rPr>
          <w:rFonts w:eastAsia="Calibri"/>
          <w:iCs/>
          <w:color w:val="000000"/>
          <w:sz w:val="22"/>
          <w:szCs w:val="22"/>
          <w:lang w:val="en-GB" w:eastAsia="en-US"/>
        </w:rPr>
        <w:t xml:space="preserve"> )</w:t>
      </w:r>
    </w:p>
    <w:p w:rsidR="001013CE" w:rsidRPr="001013CE" w:rsidRDefault="001013CE" w:rsidP="001013CE">
      <w:pPr>
        <w:spacing w:before="120" w:after="120" w:line="360" w:lineRule="auto"/>
        <w:ind w:firstLine="357"/>
        <w:jc w:val="both"/>
        <w:rPr>
          <w:sz w:val="22"/>
          <w:szCs w:val="22"/>
          <w:lang w:val="en-GB" w:eastAsia="en-US"/>
        </w:rPr>
      </w:pPr>
      <w:r w:rsidRPr="001013CE">
        <w:rPr>
          <w:sz w:val="22"/>
          <w:szCs w:val="22"/>
          <w:lang w:val="en-GB" w:eastAsia="en-US"/>
        </w:rPr>
        <w:t>For the 17 AACC, data on the share of labour rents in the GVA of each territory can be found in the database from De la Fuente (2015a). However, for the 50 Provinces there is no data for such variable. According to Ascari and Di Cosmo (2005), the share of the labour rents in the GVA can be obtained through the equation 4 below:</w:t>
      </w:r>
    </w:p>
    <w:p w:rsidR="001013CE" w:rsidRPr="001013CE" w:rsidRDefault="001013CE" w:rsidP="001013CE">
      <w:pPr>
        <w:spacing w:before="240" w:after="240" w:line="360" w:lineRule="auto"/>
        <w:ind w:firstLine="357"/>
        <w:jc w:val="center"/>
        <w:rPr>
          <w:i/>
          <w:iCs/>
          <w:color w:val="44546A"/>
          <w:sz w:val="22"/>
          <w:szCs w:val="22"/>
          <w:lang w:val="en-GB" w:eastAsia="en-US"/>
        </w:rPr>
      </w:pPr>
      <m:oMath>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α</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f>
          <m:fPr>
            <m:ctrlPr>
              <w:rPr>
                <w:rFonts w:ascii="Cambria Math" w:eastAsia="Calibri" w:hAnsi="Cambria Math"/>
                <w:i/>
                <w:iCs/>
                <w:color w:val="000000"/>
                <w:sz w:val="22"/>
                <w:szCs w:val="22"/>
                <w:lang w:val="en-GB" w:eastAsia="en-US"/>
              </w:rPr>
            </m:ctrlPr>
          </m:fPr>
          <m:num>
            <m:f>
              <m:fPr>
                <m:ctrlPr>
                  <w:rPr>
                    <w:rFonts w:ascii="Cambria Math" w:eastAsia="Calibri" w:hAnsi="Cambria Math"/>
                    <w:i/>
                    <w:iCs/>
                    <w:color w:val="000000"/>
                    <w:sz w:val="22"/>
                    <w:szCs w:val="22"/>
                    <w:lang w:val="en-GB" w:eastAsia="en-US"/>
                  </w:rPr>
                </m:ctrlPr>
              </m:fPr>
              <m:num>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CSE</m:t>
                    </m:r>
                  </m:e>
                  <m:sub>
                    <m:r>
                      <w:rPr>
                        <w:rFonts w:ascii="Cambria Math" w:eastAsia="Calibri" w:hAnsi="Cambria Math"/>
                        <w:color w:val="000000"/>
                        <w:sz w:val="22"/>
                        <w:szCs w:val="22"/>
                        <w:lang w:val="en-GB" w:eastAsia="en-US"/>
                      </w:rPr>
                      <m:t>rt</m:t>
                    </m:r>
                  </m:sub>
                </m:sSub>
              </m:num>
              <m:den>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AE</m:t>
                    </m:r>
                  </m:e>
                  <m:sub>
                    <m:r>
                      <w:rPr>
                        <w:rFonts w:ascii="Cambria Math" w:eastAsia="Calibri" w:hAnsi="Cambria Math"/>
                        <w:color w:val="000000"/>
                        <w:sz w:val="22"/>
                        <w:szCs w:val="22"/>
                        <w:lang w:val="en-GB" w:eastAsia="en-US"/>
                      </w:rPr>
                      <m:t>rt</m:t>
                    </m:r>
                  </m:sub>
                </m:sSub>
              </m:den>
            </m:f>
            <m:r>
              <w:rPr>
                <w:rFonts w:ascii="Cambria Math" w:eastAsia="Calibri" w:hAnsi="Cambria Math"/>
                <w:color w:val="000000"/>
                <w:sz w:val="22"/>
                <w:szCs w:val="22"/>
                <w:lang w:val="en-GB" w:eastAsia="en-US"/>
              </w:rPr>
              <m:t xml:space="preserve"> </m:t>
            </m:r>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L</m:t>
                </m:r>
              </m:e>
              <m:sub>
                <m:r>
                  <w:rPr>
                    <w:rFonts w:ascii="Cambria Math" w:eastAsia="Calibri" w:hAnsi="Cambria Math"/>
                    <w:color w:val="000000"/>
                    <w:sz w:val="22"/>
                    <w:szCs w:val="22"/>
                    <w:lang w:val="en-GB" w:eastAsia="en-US"/>
                  </w:rPr>
                  <m:t>rt</m:t>
                </m:r>
              </m:sub>
            </m:sSub>
          </m:num>
          <m:den>
            <m:sSub>
              <m:sSubPr>
                <m:ctrlPr>
                  <w:rPr>
                    <w:rFonts w:ascii="Cambria Math" w:eastAsia="Calibri" w:hAnsi="Cambria Math"/>
                    <w:i/>
                    <w:iCs/>
                    <w:color w:val="000000"/>
                    <w:sz w:val="22"/>
                    <w:szCs w:val="22"/>
                    <w:lang w:val="en-GB" w:eastAsia="en-US"/>
                  </w:rPr>
                </m:ctrlPr>
              </m:sSubPr>
              <m:e>
                <m:r>
                  <w:rPr>
                    <w:rFonts w:ascii="Cambria Math" w:eastAsia="Calibri" w:hAnsi="Cambria Math"/>
                    <w:color w:val="000000"/>
                    <w:sz w:val="22"/>
                    <w:szCs w:val="22"/>
                    <w:lang w:val="en-GB" w:eastAsia="en-US"/>
                  </w:rPr>
                  <m:t>GVA</m:t>
                </m:r>
              </m:e>
              <m:sub>
                <m:r>
                  <w:rPr>
                    <w:rFonts w:ascii="Cambria Math" w:eastAsia="Calibri" w:hAnsi="Cambria Math"/>
                    <w:color w:val="000000"/>
                    <w:sz w:val="22"/>
                    <w:szCs w:val="22"/>
                    <w:lang w:val="en-GB" w:eastAsia="en-US"/>
                  </w:rPr>
                  <m:t>rt</m:t>
                </m:r>
              </m:sub>
            </m:sSub>
          </m:den>
        </m:f>
      </m:oMath>
      <w:r w:rsidRPr="001013CE">
        <w:rPr>
          <w:i/>
          <w:iCs/>
          <w:color w:val="44546A"/>
          <w:sz w:val="22"/>
          <w:szCs w:val="22"/>
          <w:lang w:val="en-GB" w:eastAsia="en-US"/>
        </w:rPr>
        <w:t xml:space="preserve">                      </w:t>
      </w:r>
      <w:r w:rsidRPr="001013CE">
        <w:rPr>
          <w:i/>
          <w:iCs/>
          <w:color w:val="44546A"/>
          <w:sz w:val="22"/>
          <w:szCs w:val="22"/>
          <w:lang w:val="en-GB" w:eastAsia="en-US"/>
        </w:rPr>
        <w:tab/>
        <w:t xml:space="preserve">   </w:t>
      </w:r>
      <w:r w:rsidRPr="001013CE">
        <w:rPr>
          <w:i/>
          <w:iCs/>
          <w:color w:val="44546A"/>
          <w:sz w:val="22"/>
          <w:szCs w:val="22"/>
          <w:lang w:val="en-GB" w:eastAsia="en-US"/>
        </w:rPr>
        <w:tab/>
        <w:t xml:space="preserve">            </w:t>
      </w:r>
      <w:r w:rsidRPr="001013CE">
        <w:rPr>
          <w:rFonts w:eastAsia="Calibri"/>
          <w:iCs/>
          <w:color w:val="000000"/>
          <w:sz w:val="22"/>
          <w:szCs w:val="22"/>
          <w:lang w:val="en-GB" w:eastAsia="en-US"/>
        </w:rPr>
        <w:t xml:space="preserve">( </w:t>
      </w:r>
      <w:r w:rsidRPr="001013CE">
        <w:rPr>
          <w:rFonts w:eastAsia="Calibri"/>
          <w:iCs/>
          <w:color w:val="000000"/>
          <w:sz w:val="22"/>
          <w:szCs w:val="22"/>
          <w:lang w:val="en-GB" w:eastAsia="en-US"/>
        </w:rPr>
        <w:fldChar w:fldCharType="begin"/>
      </w:r>
      <w:r w:rsidRPr="001013CE">
        <w:rPr>
          <w:rFonts w:eastAsia="Calibri"/>
          <w:iCs/>
          <w:color w:val="000000"/>
          <w:sz w:val="22"/>
          <w:szCs w:val="22"/>
          <w:lang w:val="en-GB" w:eastAsia="en-US"/>
        </w:rPr>
        <w:instrText xml:space="preserve"> SEQ ( \* ARABIC </w:instrText>
      </w:r>
      <w:r w:rsidRPr="001013CE">
        <w:rPr>
          <w:rFonts w:eastAsia="Calibri"/>
          <w:iCs/>
          <w:color w:val="000000"/>
          <w:sz w:val="22"/>
          <w:szCs w:val="22"/>
          <w:lang w:val="en-GB" w:eastAsia="en-US"/>
        </w:rPr>
        <w:fldChar w:fldCharType="separate"/>
      </w:r>
      <w:r w:rsidRPr="001013CE">
        <w:rPr>
          <w:rFonts w:eastAsia="Calibri"/>
          <w:iCs/>
          <w:noProof/>
          <w:color w:val="000000"/>
          <w:sz w:val="22"/>
          <w:szCs w:val="22"/>
          <w:lang w:val="en-GB" w:eastAsia="en-US"/>
        </w:rPr>
        <w:t>4</w:t>
      </w:r>
      <w:r w:rsidRPr="001013CE">
        <w:rPr>
          <w:rFonts w:eastAsia="Calibri"/>
          <w:iCs/>
          <w:color w:val="000000"/>
          <w:sz w:val="22"/>
          <w:szCs w:val="22"/>
          <w:lang w:val="en-GB" w:eastAsia="en-US"/>
        </w:rPr>
        <w:fldChar w:fldCharType="end"/>
      </w:r>
      <w:r w:rsidRPr="001013CE">
        <w:rPr>
          <w:rFonts w:eastAsia="Calibri"/>
          <w:iCs/>
          <w:color w:val="000000"/>
          <w:sz w:val="22"/>
          <w:szCs w:val="22"/>
          <w:lang w:val="en-GB" w:eastAsia="en-US"/>
        </w:rPr>
        <w:t xml:space="preserve"> )</w:t>
      </w:r>
    </w:p>
    <w:p w:rsidR="001013CE" w:rsidRPr="001013CE" w:rsidRDefault="001013CE" w:rsidP="001013CE">
      <w:pPr>
        <w:spacing w:before="120" w:after="120" w:line="360" w:lineRule="auto"/>
        <w:ind w:firstLine="357"/>
        <w:jc w:val="both"/>
        <w:rPr>
          <w:sz w:val="22"/>
          <w:szCs w:val="22"/>
          <w:lang w:val="en-GB" w:eastAsia="en-US"/>
        </w:rPr>
      </w:pPr>
      <w:r w:rsidRPr="001013CE">
        <w:rPr>
          <w:sz w:val="22"/>
          <w:szCs w:val="22"/>
          <w:lang w:val="en-US" w:eastAsia="en-US"/>
        </w:rPr>
        <w:t xml:space="preserve">Where </w:t>
      </w:r>
      <m:oMath>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CAE</m:t>
            </m:r>
          </m:e>
          <m:sub>
            <m:r>
              <w:rPr>
                <w:rFonts w:ascii="Cambria Math" w:eastAsia="Calibri" w:hAnsi="Cambria Math"/>
                <w:sz w:val="22"/>
                <w:szCs w:val="22"/>
                <w:lang w:eastAsia="en-US"/>
              </w:rPr>
              <m:t>rt</m:t>
            </m:r>
          </m:sub>
        </m:sSub>
      </m:oMath>
      <w:r w:rsidRPr="001013CE">
        <w:rPr>
          <w:sz w:val="22"/>
          <w:szCs w:val="22"/>
          <w:lang w:val="en-US" w:eastAsia="en-US"/>
        </w:rPr>
        <w:t xml:space="preserve"> and </w:t>
      </w:r>
      <m:oMath>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AE</m:t>
            </m:r>
          </m:e>
          <m:sub>
            <m:r>
              <w:rPr>
                <w:rFonts w:ascii="Cambria Math" w:eastAsia="Calibri" w:hAnsi="Cambria Math"/>
                <w:sz w:val="22"/>
                <w:szCs w:val="22"/>
                <w:lang w:eastAsia="en-US"/>
              </w:rPr>
              <m:t>rt</m:t>
            </m:r>
          </m:sub>
        </m:sSub>
      </m:oMath>
      <w:r w:rsidRPr="001013CE">
        <w:rPr>
          <w:sz w:val="22"/>
          <w:szCs w:val="22"/>
          <w:lang w:val="en-US" w:eastAsia="en-US"/>
        </w:rPr>
        <w:t xml:space="preserve"> are the compensation of salaried employees and the total number of salaried employees, respectively; and </w:t>
      </w:r>
      <m:oMath>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GVA</m:t>
            </m:r>
          </m:e>
          <m:sub>
            <m:r>
              <w:rPr>
                <w:rFonts w:ascii="Cambria Math" w:eastAsia="Calibri" w:hAnsi="Cambria Math"/>
                <w:sz w:val="22"/>
                <w:szCs w:val="22"/>
                <w:lang w:eastAsia="en-US"/>
              </w:rPr>
              <m:t>rt</m:t>
            </m:r>
          </m:sub>
        </m:sSub>
      </m:oMath>
      <w:r w:rsidRPr="001013CE">
        <w:rPr>
          <w:sz w:val="22"/>
          <w:szCs w:val="22"/>
          <w:lang w:val="en-US" w:eastAsia="en-US"/>
        </w:rPr>
        <w:t xml:space="preserve"> is the gross value added. Thus, the quotient </w:t>
      </w:r>
      <m:oMath>
        <m:f>
          <m:fPr>
            <m:ctrlPr>
              <w:rPr>
                <w:rFonts w:ascii="Cambria Math" w:eastAsia="Calibri" w:hAnsi="Cambria Math"/>
                <w:i/>
                <w:sz w:val="22"/>
                <w:szCs w:val="22"/>
                <w:lang w:eastAsia="en-US"/>
              </w:rPr>
            </m:ctrlPr>
          </m:fPr>
          <m:num>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CSE</m:t>
                </m:r>
              </m:e>
              <m:sub>
                <m:r>
                  <w:rPr>
                    <w:rFonts w:ascii="Cambria Math" w:eastAsia="Calibri" w:hAnsi="Cambria Math"/>
                    <w:sz w:val="22"/>
                    <w:szCs w:val="22"/>
                    <w:lang w:eastAsia="en-US"/>
                  </w:rPr>
                  <m:t>rt</m:t>
                </m:r>
              </m:sub>
            </m:sSub>
          </m:num>
          <m:den>
            <m:sSub>
              <m:sSubPr>
                <m:ctrlPr>
                  <w:rPr>
                    <w:rFonts w:ascii="Cambria Math" w:eastAsia="Calibri" w:hAnsi="Cambria Math"/>
                    <w:i/>
                    <w:sz w:val="22"/>
                    <w:szCs w:val="22"/>
                    <w:lang w:eastAsia="en-US"/>
                  </w:rPr>
                </m:ctrlPr>
              </m:sSubPr>
              <m:e>
                <m:r>
                  <w:rPr>
                    <w:rFonts w:ascii="Cambria Math" w:eastAsia="Calibri" w:hAnsi="Cambria Math"/>
                    <w:sz w:val="22"/>
                    <w:szCs w:val="22"/>
                    <w:lang w:eastAsia="en-US"/>
                  </w:rPr>
                  <m:t>AE</m:t>
                </m:r>
              </m:e>
              <m:sub>
                <m:r>
                  <w:rPr>
                    <w:rFonts w:ascii="Cambria Math" w:eastAsia="Calibri" w:hAnsi="Cambria Math"/>
                    <w:sz w:val="22"/>
                    <w:szCs w:val="22"/>
                    <w:lang w:eastAsia="en-US"/>
                  </w:rPr>
                  <m:t>rt</m:t>
                </m:r>
              </m:sub>
            </m:sSub>
          </m:den>
        </m:f>
      </m:oMath>
      <w:r w:rsidRPr="001013CE">
        <w:rPr>
          <w:sz w:val="22"/>
          <w:szCs w:val="22"/>
          <w:lang w:val="en-US" w:eastAsia="en-US"/>
        </w:rPr>
        <w:t xml:space="preserve"> is equivalent to the average wage of salaried employees. Then, it is used as a proxy for the average wage of all workers and multiplied by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eastAsia="en-US"/>
              </w:rPr>
              <m:t>L</m:t>
            </m:r>
          </m:e>
          <m:sub>
            <m:r>
              <w:rPr>
                <w:rFonts w:ascii="Cambria Math" w:eastAsia="Calibri" w:hAnsi="Cambria Math"/>
                <w:sz w:val="22"/>
                <w:szCs w:val="22"/>
                <w:lang w:eastAsia="en-US"/>
              </w:rPr>
              <m:t>rt</m:t>
            </m:r>
          </m:sub>
        </m:sSub>
      </m:oMath>
      <w:r w:rsidRPr="001013CE">
        <w:rPr>
          <w:sz w:val="22"/>
          <w:szCs w:val="22"/>
          <w:lang w:val="en-US" w:eastAsia="en-US"/>
        </w:rPr>
        <w:t xml:space="preserve"> in order to compute the total labour rent of the region </w:t>
      </w:r>
      <m:oMath>
        <m:r>
          <w:rPr>
            <w:rFonts w:ascii="Cambria Math" w:hAnsi="Cambria Math"/>
            <w:sz w:val="22"/>
            <w:szCs w:val="22"/>
            <w:lang w:val="en-US" w:eastAsia="en-US"/>
          </w:rPr>
          <m:t>r</m:t>
        </m:r>
      </m:oMath>
      <w:r w:rsidRPr="001013CE">
        <w:rPr>
          <w:sz w:val="22"/>
          <w:szCs w:val="22"/>
          <w:lang w:val="en-US" w:eastAsia="en-US"/>
        </w:rPr>
        <w:t xml:space="preserve"> at time </w:t>
      </w:r>
      <m:oMath>
        <m:r>
          <w:rPr>
            <w:rFonts w:ascii="Cambria Math" w:hAnsi="Cambria Math"/>
            <w:sz w:val="22"/>
            <w:szCs w:val="22"/>
            <w:lang w:eastAsia="en-US"/>
          </w:rPr>
          <m:t>t</m:t>
        </m:r>
      </m:oMath>
      <w:r w:rsidRPr="001013CE">
        <w:rPr>
          <w:sz w:val="22"/>
          <w:szCs w:val="22"/>
          <w:lang w:val="en-US" w:eastAsia="en-US"/>
        </w:rPr>
        <w:t xml:space="preserve">. To obtain the participation of labour in output, the last expression is divided by value added. Finally,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eastAsia="en-US"/>
              </w:rPr>
              <m:t>α</m:t>
            </m:r>
          </m:e>
          <m:sub>
            <m:r>
              <w:rPr>
                <w:rFonts w:ascii="Cambria Math" w:eastAsia="Calibri" w:hAnsi="Cambria Math"/>
                <w:sz w:val="22"/>
                <w:szCs w:val="22"/>
                <w:lang w:eastAsia="en-US"/>
              </w:rPr>
              <m:t>r</m:t>
            </m:r>
          </m:sub>
        </m:sSub>
      </m:oMath>
      <w:r w:rsidRPr="001013CE">
        <w:rPr>
          <w:sz w:val="22"/>
          <w:szCs w:val="22"/>
          <w:lang w:val="en-US" w:eastAsia="en-US"/>
        </w:rPr>
        <w:t xml:space="preserve"> is calculated as the average value of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eastAsia="en-US"/>
              </w:rPr>
              <m:t>α</m:t>
            </m:r>
          </m:e>
          <m:sub>
            <m:r>
              <w:rPr>
                <w:rFonts w:ascii="Cambria Math" w:eastAsia="Calibri" w:hAnsi="Cambria Math"/>
                <w:sz w:val="22"/>
                <w:szCs w:val="22"/>
                <w:lang w:eastAsia="en-US"/>
              </w:rPr>
              <m:t>rt</m:t>
            </m:r>
          </m:sub>
        </m:sSub>
      </m:oMath>
      <w:r w:rsidRPr="001013CE">
        <w:rPr>
          <w:sz w:val="22"/>
          <w:szCs w:val="22"/>
          <w:lang w:val="en-US" w:eastAsia="en-US"/>
        </w:rPr>
        <w:t xml:space="preserve"> due to the high variability of this variable</w:t>
      </w:r>
      <w:r w:rsidRPr="001013CE">
        <w:rPr>
          <w:sz w:val="22"/>
          <w:szCs w:val="22"/>
          <w:vertAlign w:val="superscript"/>
          <w:lang w:val="en-GB" w:eastAsia="en-US"/>
        </w:rPr>
        <w:footnoteReference w:id="5"/>
      </w:r>
      <w:r w:rsidRPr="001013CE">
        <w:rPr>
          <w:sz w:val="22"/>
          <w:szCs w:val="22"/>
          <w:lang w:val="en-GB" w:eastAsia="en-US"/>
        </w:rPr>
        <w:t>.</w:t>
      </w:r>
    </w:p>
    <w:p w:rsidR="001013CE" w:rsidRPr="001013CE" w:rsidRDefault="001013CE" w:rsidP="001013CE">
      <w:pPr>
        <w:spacing w:before="120" w:after="120" w:line="360" w:lineRule="auto"/>
        <w:ind w:firstLine="357"/>
        <w:jc w:val="both"/>
        <w:rPr>
          <w:rFonts w:eastAsia="Calibri"/>
          <w:sz w:val="22"/>
          <w:szCs w:val="22"/>
          <w:lang w:val="en-GB" w:eastAsia="es-ES_tradnl"/>
        </w:rPr>
      </w:pPr>
      <w:r w:rsidRPr="001013CE">
        <w:rPr>
          <w:rFonts w:eastAsia="Calibri"/>
          <w:sz w:val="22"/>
          <w:szCs w:val="22"/>
          <w:lang w:val="en-GB" w:eastAsia="es-ES_tradnl"/>
        </w:rPr>
        <w:t xml:space="preserve">The second approach is regression based. This original method has two advantages: i) not imposing any a priori restrictions in the coefficients of the production function inputs –capital and labour– and ii) allowing for including spatial components. Additionally, it is also broadly used in recent studies of TFP (Bronzini and Pisselli, 2006; Di Liberto and Usai, 2013; Gehringer et al., 2013; etc.). Currently, there are only a few examples in the literature applying this methodology to the analysis of TFP and its determinants (Dettori et al., 2012; Marijke et al., 2014). </w:t>
      </w:r>
    </w:p>
    <w:p w:rsidR="001013CE" w:rsidRPr="001013CE" w:rsidRDefault="001013CE" w:rsidP="001013CE">
      <w:pPr>
        <w:spacing w:before="120" w:after="120" w:line="360" w:lineRule="auto"/>
        <w:ind w:firstLine="357"/>
        <w:jc w:val="both"/>
        <w:rPr>
          <w:rFonts w:eastAsia="Calibri"/>
          <w:sz w:val="22"/>
          <w:szCs w:val="22"/>
          <w:lang w:val="en-GB" w:eastAsia="es-ES_tradnl"/>
        </w:rPr>
      </w:pPr>
      <w:r w:rsidRPr="001013CE">
        <w:rPr>
          <w:rFonts w:eastAsia="Calibri"/>
          <w:sz w:val="22"/>
          <w:szCs w:val="22"/>
          <w:lang w:val="en-GB" w:eastAsia="es-ES_tradnl"/>
        </w:rPr>
        <w:t xml:space="preserve">The main novelty of the present study is the estimation of the production function for the Spanish regions considering the spatial interactions between the variables. For this purpose, three models have been estimated. Firstly, a traditional </w:t>
      </w:r>
      <w:r w:rsidRPr="001013CE">
        <w:rPr>
          <w:rFonts w:eastAsia="Calibri"/>
          <w:i/>
          <w:sz w:val="22"/>
          <w:szCs w:val="22"/>
          <w:lang w:val="en-GB" w:eastAsia="es-ES_tradnl"/>
        </w:rPr>
        <w:t>ordinary least squares</w:t>
      </w:r>
      <w:r w:rsidRPr="001013CE">
        <w:rPr>
          <w:rFonts w:eastAsia="Calibri"/>
          <w:sz w:val="22"/>
          <w:szCs w:val="22"/>
          <w:lang w:val="en-GB" w:eastAsia="es-ES_tradnl"/>
        </w:rPr>
        <w:t xml:space="preserve"> model (OLS), serves as benchmarking and workhorse for the spatial models below. It is an OLS panel data regression </w:t>
      </w:r>
      <w:r w:rsidRPr="001013CE">
        <w:rPr>
          <w:rFonts w:eastAsia="Calibri"/>
          <w:sz w:val="22"/>
          <w:szCs w:val="22"/>
          <w:lang w:val="en-GB" w:eastAsia="es-ES_tradnl"/>
        </w:rPr>
        <w:lastRenderedPageBreak/>
        <w:t>including regional fixed effects</w:t>
      </w:r>
      <w:r w:rsidRPr="001013CE">
        <w:rPr>
          <w:rFonts w:eastAsia="Calibri"/>
          <w:sz w:val="22"/>
          <w:szCs w:val="22"/>
          <w:vertAlign w:val="superscript"/>
          <w:lang w:val="en-GB" w:eastAsia="es-ES_tradnl"/>
        </w:rPr>
        <w:footnoteReference w:id="6"/>
      </w:r>
      <w:r w:rsidRPr="001013CE">
        <w:rPr>
          <w:rFonts w:eastAsia="Calibri"/>
          <w:sz w:val="22"/>
          <w:szCs w:val="22"/>
          <w:lang w:val="en-GB" w:eastAsia="es-ES_tradnl"/>
        </w:rPr>
        <w:t xml:space="preserve"> and year dummies. Taking logs in both sides of the production function, the resulting fixed effects OLS model is described by equation 5:</w:t>
      </w:r>
    </w:p>
    <w:p w:rsidR="001013CE" w:rsidRPr="001013CE" w:rsidRDefault="001013CE" w:rsidP="001013CE">
      <w:pPr>
        <w:spacing w:before="240" w:after="240"/>
        <w:jc w:val="center"/>
        <w:rPr>
          <w:i/>
          <w:iCs/>
          <w:color w:val="000000"/>
          <w:sz w:val="22"/>
          <w:szCs w:val="22"/>
          <w:lang w:val="en-GB" w:eastAsia="en-US"/>
        </w:rPr>
      </w:pPr>
      <m:oMath>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va</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α</m:t>
            </m:r>
          </m:e>
          <m:sub>
            <m:r>
              <w:rPr>
                <w:rFonts w:ascii="Cambria Math" w:eastAsia="Calibri" w:hAnsi="Cambria Math"/>
                <w:color w:val="000000"/>
                <w:sz w:val="22"/>
                <w:szCs w:val="22"/>
                <w:lang w:val="en-GB" w:eastAsia="en-US"/>
              </w:rPr>
              <m:t>r</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β</m:t>
            </m:r>
          </m:e>
          <m:sub>
            <m:r>
              <w:rPr>
                <w:rFonts w:ascii="Cambria Math" w:eastAsia="Calibri" w:hAnsi="Cambria Math"/>
                <w:color w:val="000000"/>
                <w:sz w:val="22"/>
                <w:szCs w:val="22"/>
                <w:lang w:val="en-GB" w:eastAsia="en-US"/>
              </w:rPr>
              <m:t>1</m:t>
            </m:r>
          </m:sub>
        </m:sSub>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k</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β</m:t>
            </m:r>
          </m:e>
          <m:sub>
            <m:r>
              <w:rPr>
                <w:rFonts w:ascii="Cambria Math" w:eastAsia="Calibri" w:hAnsi="Cambria Math"/>
                <w:color w:val="000000"/>
                <w:sz w:val="22"/>
                <w:szCs w:val="22"/>
                <w:lang w:val="en-GB" w:eastAsia="en-US"/>
              </w:rPr>
              <m:t>2</m:t>
            </m:r>
          </m:sub>
        </m:sSub>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l</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
                <w:color w:val="000000"/>
                <w:sz w:val="22"/>
                <w:szCs w:val="22"/>
                <w:lang w:val="en-GB" w:eastAsia="es-ES_tradnl"/>
              </w:rPr>
            </m:ctrlPr>
          </m:sSubPr>
          <m:e>
            <m:r>
              <w:rPr>
                <w:rFonts w:ascii="Cambria Math" w:eastAsia="Calibri" w:hAnsi="Cambria Math"/>
                <w:color w:val="000000"/>
                <w:sz w:val="22"/>
                <w:szCs w:val="22"/>
                <w:lang w:val="en-GB" w:eastAsia="en-US"/>
              </w:rPr>
              <m:t>dummies</m:t>
            </m:r>
          </m:e>
          <m:sub>
            <m:r>
              <w:rPr>
                <w:rFonts w:ascii="Cambria Math" w:eastAsia="Calibri" w:hAnsi="Cambria Math"/>
                <w:color w:val="000000"/>
                <w:sz w:val="22"/>
                <w:szCs w:val="22"/>
                <w:lang w:val="en-GB" w:eastAsia="en-US"/>
              </w:rPr>
              <m:t>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ε</m:t>
            </m:r>
          </m:e>
          <m:sub>
            <m:r>
              <w:rPr>
                <w:rFonts w:ascii="Cambria Math" w:eastAsia="Calibri" w:hAnsi="Cambria Math"/>
                <w:color w:val="000000"/>
                <w:sz w:val="22"/>
                <w:szCs w:val="22"/>
                <w:lang w:val="en-GB" w:eastAsia="en-US"/>
              </w:rPr>
              <m:t>rt</m:t>
            </m:r>
          </m:sub>
        </m:sSub>
      </m:oMath>
      <w:r w:rsidRPr="001013CE">
        <w:rPr>
          <w:i/>
          <w:iCs/>
          <w:color w:val="000000"/>
          <w:sz w:val="22"/>
          <w:szCs w:val="22"/>
          <w:lang w:val="en-GB" w:eastAsia="en-US"/>
        </w:rPr>
        <w:tab/>
        <w:t xml:space="preserve">  </w:t>
      </w:r>
      <w:r w:rsidRPr="001013CE">
        <w:rPr>
          <w:i/>
          <w:iCs/>
          <w:color w:val="000000"/>
          <w:sz w:val="22"/>
          <w:szCs w:val="22"/>
          <w:lang w:val="en-GB" w:eastAsia="en-US"/>
        </w:rPr>
        <w:tab/>
      </w:r>
      <w:r w:rsidRPr="001013CE">
        <w:rPr>
          <w:iCs/>
          <w:color w:val="000000"/>
          <w:sz w:val="22"/>
          <w:szCs w:val="22"/>
          <w:lang w:val="en-GB" w:eastAsia="en-US"/>
        </w:rPr>
        <w:t xml:space="preserve">    </w:t>
      </w:r>
      <w:r w:rsidRPr="001013CE">
        <w:rPr>
          <w:rFonts w:eastAsia="Calibri"/>
          <w:iCs/>
          <w:color w:val="000000"/>
          <w:sz w:val="22"/>
          <w:szCs w:val="22"/>
          <w:lang w:val="en-GB" w:eastAsia="en-US"/>
        </w:rPr>
        <w:t xml:space="preserve">( </w:t>
      </w:r>
      <w:r w:rsidRPr="001013CE">
        <w:rPr>
          <w:rFonts w:eastAsia="Calibri"/>
          <w:iCs/>
          <w:color w:val="000000"/>
          <w:sz w:val="22"/>
          <w:szCs w:val="22"/>
          <w:lang w:val="en-GB" w:eastAsia="en-US"/>
        </w:rPr>
        <w:fldChar w:fldCharType="begin"/>
      </w:r>
      <w:r w:rsidRPr="001013CE">
        <w:rPr>
          <w:rFonts w:eastAsia="Calibri"/>
          <w:iCs/>
          <w:color w:val="000000"/>
          <w:sz w:val="22"/>
          <w:szCs w:val="22"/>
          <w:lang w:val="en-GB" w:eastAsia="en-US"/>
        </w:rPr>
        <w:instrText xml:space="preserve"> SEQ ( \* ARABIC </w:instrText>
      </w:r>
      <w:r w:rsidRPr="001013CE">
        <w:rPr>
          <w:rFonts w:eastAsia="Calibri"/>
          <w:iCs/>
          <w:color w:val="000000"/>
          <w:sz w:val="22"/>
          <w:szCs w:val="22"/>
          <w:lang w:val="en-GB" w:eastAsia="en-US"/>
        </w:rPr>
        <w:fldChar w:fldCharType="separate"/>
      </w:r>
      <w:r w:rsidRPr="001013CE">
        <w:rPr>
          <w:rFonts w:eastAsia="Calibri"/>
          <w:iCs/>
          <w:noProof/>
          <w:color w:val="000000"/>
          <w:sz w:val="22"/>
          <w:szCs w:val="22"/>
          <w:lang w:val="en-GB" w:eastAsia="en-US"/>
        </w:rPr>
        <w:t>5</w:t>
      </w:r>
      <w:r w:rsidRPr="001013CE">
        <w:rPr>
          <w:rFonts w:eastAsia="Calibri"/>
          <w:iCs/>
          <w:color w:val="000000"/>
          <w:sz w:val="22"/>
          <w:szCs w:val="22"/>
          <w:lang w:val="en-GB" w:eastAsia="en-US"/>
        </w:rPr>
        <w:fldChar w:fldCharType="end"/>
      </w:r>
      <w:r w:rsidRPr="001013CE">
        <w:rPr>
          <w:rFonts w:eastAsia="Calibri"/>
          <w:iCs/>
          <w:color w:val="000000"/>
          <w:sz w:val="22"/>
          <w:szCs w:val="22"/>
          <w:lang w:val="en-GB" w:eastAsia="en-US"/>
        </w:rPr>
        <w:t xml:space="preserve"> )</w:t>
      </w:r>
    </w:p>
    <w:p w:rsidR="001013CE" w:rsidRPr="001013CE" w:rsidRDefault="001013CE" w:rsidP="001013CE">
      <w:pPr>
        <w:spacing w:before="120" w:after="120" w:line="360" w:lineRule="auto"/>
        <w:ind w:firstLine="357"/>
        <w:jc w:val="both"/>
        <w:rPr>
          <w:sz w:val="22"/>
          <w:szCs w:val="22"/>
          <w:lang w:val="en-GB" w:eastAsia="en-US"/>
        </w:rPr>
      </w:pPr>
      <w:r w:rsidRPr="001013CE">
        <w:rPr>
          <w:sz w:val="22"/>
          <w:szCs w:val="22"/>
          <w:lang w:val="en-GB" w:eastAsia="en-US"/>
        </w:rPr>
        <w:t xml:space="preserve">Where the terms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va</m:t>
            </m:r>
          </m:e>
          <m:sub>
            <m:r>
              <w:rPr>
                <w:rFonts w:ascii="Cambria Math" w:eastAsia="Calibri" w:hAnsi="Cambria Math"/>
                <w:sz w:val="22"/>
                <w:szCs w:val="22"/>
                <w:lang w:val="en-GB" w:eastAsia="en-US"/>
              </w:rPr>
              <m:t>rt</m:t>
            </m:r>
          </m:sub>
        </m:sSub>
      </m:oMath>
      <w:r w:rsidRPr="001013CE">
        <w:rPr>
          <w:sz w:val="22"/>
          <w:szCs w:val="22"/>
          <w:lang w:val="en-GB" w:eastAsia="en-US"/>
        </w:rPr>
        <w:t xml:space="preserve">,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k</m:t>
            </m:r>
          </m:e>
          <m:sub>
            <m:r>
              <w:rPr>
                <w:rFonts w:ascii="Cambria Math" w:eastAsia="Calibri" w:hAnsi="Cambria Math"/>
                <w:sz w:val="22"/>
                <w:szCs w:val="22"/>
                <w:lang w:val="en-GB" w:eastAsia="en-US"/>
              </w:rPr>
              <m:t>rt</m:t>
            </m:r>
          </m:sub>
        </m:sSub>
      </m:oMath>
      <w:r w:rsidRPr="001013CE">
        <w:rPr>
          <w:sz w:val="22"/>
          <w:szCs w:val="22"/>
          <w:lang w:val="en-GB" w:eastAsia="en-US"/>
        </w:rPr>
        <w:t xml:space="preserve"> and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l</m:t>
            </m:r>
          </m:e>
          <m:sub>
            <m:r>
              <w:rPr>
                <w:rFonts w:ascii="Cambria Math" w:eastAsia="Calibri" w:hAnsi="Cambria Math"/>
                <w:sz w:val="22"/>
                <w:szCs w:val="22"/>
                <w:lang w:val="en-GB" w:eastAsia="en-US"/>
              </w:rPr>
              <m:t>rt</m:t>
            </m:r>
          </m:sub>
        </m:sSub>
      </m:oMath>
      <w:r w:rsidRPr="001013CE">
        <w:rPr>
          <w:sz w:val="22"/>
          <w:szCs w:val="22"/>
          <w:lang w:val="en-GB" w:eastAsia="en-US"/>
        </w:rPr>
        <w:t xml:space="preserve"> are the natural logs of the per capita values of the value added, capital and labour. For now, the presence of regional time invariant effects is assumed. Fixed effects are a reasonable intuition in view of the low variability of the TFP level of the regions, as it is shown in the descriptive analysis (section 4). In addition, this will be supported by the results from the Hausman test. The year dummies are included in order to control for temporary shocks affecting all the regions, although they are removed for the spatial models at the AACC level of aggregation level due to their low joint significance.</w:t>
      </w:r>
    </w:p>
    <w:p w:rsidR="001013CE" w:rsidRPr="001013CE" w:rsidRDefault="001013CE" w:rsidP="001013CE">
      <w:pPr>
        <w:spacing w:before="120" w:after="120" w:line="360" w:lineRule="auto"/>
        <w:ind w:firstLine="357"/>
        <w:jc w:val="both"/>
        <w:rPr>
          <w:sz w:val="22"/>
          <w:szCs w:val="22"/>
          <w:lang w:val="en-GB" w:eastAsia="en-US"/>
        </w:rPr>
      </w:pPr>
      <w:r w:rsidRPr="001013CE">
        <w:rPr>
          <w:sz w:val="22"/>
          <w:szCs w:val="22"/>
          <w:lang w:val="en-GB" w:eastAsia="en-US"/>
        </w:rPr>
        <w:t xml:space="preserve">The spatial interaction patterns existing between the variables in the production function are investigated in the next section (4) by visualizing the distribution of the variables in the map and testing for spatial autocorrelation. In presence of spatial autocorrelation, the previous estimation has an endogeneity problem caused by the omission of spillovers arising from neighbouring regions. The implementation of the Spatial Lag models permits to overcome this issue. In the second model (equation 6), the spatially lagged dependent variable is included as an additional independent variable. Equation 6 describes the basic Spatial Lag Model, also known as the </w:t>
      </w:r>
      <w:r w:rsidRPr="001013CE">
        <w:rPr>
          <w:i/>
          <w:sz w:val="22"/>
          <w:szCs w:val="22"/>
          <w:lang w:val="en-GB" w:eastAsia="en-US"/>
        </w:rPr>
        <w:t>Spatial Autoregressive model</w:t>
      </w:r>
      <w:r w:rsidRPr="001013CE">
        <w:rPr>
          <w:sz w:val="22"/>
          <w:szCs w:val="22"/>
          <w:lang w:val="en-GB" w:eastAsia="en-US"/>
        </w:rPr>
        <w:t xml:space="preserve"> (SAR):</w:t>
      </w:r>
    </w:p>
    <w:p w:rsidR="001013CE" w:rsidRPr="001013CE" w:rsidRDefault="001013CE" w:rsidP="001013CE">
      <w:pPr>
        <w:spacing w:before="240" w:after="240" w:line="360" w:lineRule="auto"/>
        <w:jc w:val="center"/>
        <w:rPr>
          <w:i/>
          <w:iCs/>
          <w:color w:val="000000"/>
          <w:sz w:val="22"/>
          <w:szCs w:val="22"/>
          <w:lang w:val="en-GB" w:eastAsia="en-US"/>
        </w:rPr>
      </w:pPr>
      <m:oMath>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va</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α</m:t>
            </m:r>
          </m:e>
          <m:sub>
            <m:r>
              <w:rPr>
                <w:rFonts w:ascii="Cambria Math" w:eastAsia="Calibri" w:hAnsi="Cambria Math"/>
                <w:color w:val="000000"/>
                <w:sz w:val="22"/>
                <w:szCs w:val="22"/>
                <w:lang w:val="en-GB" w:eastAsia="en-US"/>
              </w:rPr>
              <m:t>r</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λW</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va</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+β</m:t>
            </m:r>
          </m:e>
          <m:sub>
            <m:r>
              <w:rPr>
                <w:rFonts w:ascii="Cambria Math" w:eastAsia="Calibri" w:hAnsi="Cambria Math"/>
                <w:color w:val="000000"/>
                <w:sz w:val="22"/>
                <w:szCs w:val="22"/>
                <w:lang w:val="en-GB" w:eastAsia="en-US"/>
              </w:rPr>
              <m:t>1</m:t>
            </m:r>
          </m:sub>
        </m:sSub>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k</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β</m:t>
            </m:r>
          </m:e>
          <m:sub>
            <m:r>
              <w:rPr>
                <w:rFonts w:ascii="Cambria Math" w:eastAsia="Calibri" w:hAnsi="Cambria Math"/>
                <w:color w:val="000000"/>
                <w:sz w:val="22"/>
                <w:szCs w:val="22"/>
                <w:lang w:val="en-GB" w:eastAsia="en-US"/>
              </w:rPr>
              <m:t>2</m:t>
            </m:r>
          </m:sub>
        </m:sSub>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l</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
                <w:color w:val="000000"/>
                <w:sz w:val="22"/>
                <w:szCs w:val="22"/>
                <w:lang w:val="en-GB" w:eastAsia="es-ES_tradnl"/>
              </w:rPr>
            </m:ctrlPr>
          </m:sSubPr>
          <m:e>
            <m:r>
              <w:rPr>
                <w:rFonts w:ascii="Cambria Math" w:eastAsia="Calibri" w:hAnsi="Cambria Math"/>
                <w:color w:val="000000"/>
                <w:sz w:val="22"/>
                <w:szCs w:val="22"/>
                <w:lang w:val="en-GB" w:eastAsia="en-US"/>
              </w:rPr>
              <m:t>dummies</m:t>
            </m:r>
          </m:e>
          <m:sub>
            <m:r>
              <w:rPr>
                <w:rFonts w:ascii="Cambria Math" w:eastAsia="Calibri" w:hAnsi="Cambria Math"/>
                <w:color w:val="000000"/>
                <w:sz w:val="22"/>
                <w:szCs w:val="22"/>
                <w:lang w:val="en-GB" w:eastAsia="en-US"/>
              </w:rPr>
              <m:t>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ε</m:t>
            </m:r>
          </m:e>
          <m:sub>
            <m:r>
              <w:rPr>
                <w:rFonts w:ascii="Cambria Math" w:eastAsia="Calibri" w:hAnsi="Cambria Math"/>
                <w:color w:val="000000"/>
                <w:sz w:val="22"/>
                <w:szCs w:val="22"/>
                <w:lang w:val="en-GB" w:eastAsia="en-US"/>
              </w:rPr>
              <m:t>rt</m:t>
            </m:r>
          </m:sub>
        </m:sSub>
      </m:oMath>
      <w:r w:rsidRPr="001013CE">
        <w:rPr>
          <w:i/>
          <w:iCs/>
          <w:color w:val="000000"/>
          <w:sz w:val="22"/>
          <w:szCs w:val="22"/>
          <w:lang w:val="en-GB" w:eastAsia="en-US"/>
        </w:rPr>
        <w:tab/>
      </w:r>
      <w:r w:rsidRPr="001013CE">
        <w:rPr>
          <w:i/>
          <w:iCs/>
          <w:color w:val="000000"/>
          <w:sz w:val="22"/>
          <w:szCs w:val="22"/>
          <w:lang w:val="en-GB" w:eastAsia="en-US"/>
        </w:rPr>
        <w:tab/>
      </w:r>
      <w:r w:rsidRPr="001013CE">
        <w:rPr>
          <w:iCs/>
          <w:color w:val="000000"/>
          <w:sz w:val="22"/>
          <w:szCs w:val="22"/>
          <w:lang w:val="en-GB" w:eastAsia="en-US"/>
        </w:rPr>
        <w:t xml:space="preserve">       </w:t>
      </w:r>
      <w:r w:rsidRPr="001013CE">
        <w:rPr>
          <w:rFonts w:eastAsia="Calibri"/>
          <w:iCs/>
          <w:color w:val="000000"/>
          <w:sz w:val="22"/>
          <w:szCs w:val="22"/>
          <w:lang w:val="en-GB" w:eastAsia="en-US"/>
        </w:rPr>
        <w:t xml:space="preserve">( </w:t>
      </w:r>
      <w:r w:rsidRPr="001013CE">
        <w:rPr>
          <w:rFonts w:eastAsia="Calibri"/>
          <w:iCs/>
          <w:color w:val="000000"/>
          <w:sz w:val="22"/>
          <w:szCs w:val="22"/>
          <w:lang w:val="en-GB" w:eastAsia="en-US"/>
        </w:rPr>
        <w:fldChar w:fldCharType="begin"/>
      </w:r>
      <w:r w:rsidRPr="001013CE">
        <w:rPr>
          <w:rFonts w:eastAsia="Calibri"/>
          <w:iCs/>
          <w:color w:val="000000"/>
          <w:sz w:val="22"/>
          <w:szCs w:val="22"/>
          <w:lang w:val="en-GB" w:eastAsia="en-US"/>
        </w:rPr>
        <w:instrText xml:space="preserve"> SEQ ( \* ARABIC </w:instrText>
      </w:r>
      <w:r w:rsidRPr="001013CE">
        <w:rPr>
          <w:rFonts w:eastAsia="Calibri"/>
          <w:iCs/>
          <w:color w:val="000000"/>
          <w:sz w:val="22"/>
          <w:szCs w:val="22"/>
          <w:lang w:val="en-GB" w:eastAsia="en-US"/>
        </w:rPr>
        <w:fldChar w:fldCharType="separate"/>
      </w:r>
      <w:r w:rsidRPr="001013CE">
        <w:rPr>
          <w:rFonts w:eastAsia="Calibri"/>
          <w:iCs/>
          <w:noProof/>
          <w:color w:val="000000"/>
          <w:sz w:val="22"/>
          <w:szCs w:val="22"/>
          <w:lang w:val="en-GB" w:eastAsia="en-US"/>
        </w:rPr>
        <w:t>6</w:t>
      </w:r>
      <w:r w:rsidRPr="001013CE">
        <w:rPr>
          <w:rFonts w:eastAsia="Calibri"/>
          <w:iCs/>
          <w:color w:val="000000"/>
          <w:sz w:val="22"/>
          <w:szCs w:val="22"/>
          <w:lang w:val="en-GB" w:eastAsia="en-US"/>
        </w:rPr>
        <w:fldChar w:fldCharType="end"/>
      </w:r>
      <w:r w:rsidRPr="001013CE">
        <w:rPr>
          <w:rFonts w:eastAsia="Calibri"/>
          <w:iCs/>
          <w:color w:val="000000"/>
          <w:sz w:val="22"/>
          <w:szCs w:val="22"/>
          <w:lang w:val="en-GB" w:eastAsia="en-US"/>
        </w:rPr>
        <w:t xml:space="preserve"> )</w:t>
      </w:r>
    </w:p>
    <w:p w:rsidR="001013CE" w:rsidRPr="001013CE" w:rsidRDefault="001013CE" w:rsidP="001013CE">
      <w:pPr>
        <w:spacing w:before="120" w:after="120" w:line="360" w:lineRule="auto"/>
        <w:ind w:firstLine="357"/>
        <w:jc w:val="both"/>
        <w:rPr>
          <w:sz w:val="22"/>
          <w:szCs w:val="22"/>
          <w:lang w:val="en-GB" w:eastAsia="en-US"/>
        </w:rPr>
      </w:pPr>
      <w:r w:rsidRPr="001013CE">
        <w:rPr>
          <w:sz w:val="22"/>
          <w:szCs w:val="22"/>
          <w:lang w:val="en-GB" w:eastAsia="en-US"/>
        </w:rPr>
        <w:t xml:space="preserve">Where the term </w:t>
      </w:r>
      <m:oMath>
        <m:r>
          <w:rPr>
            <w:rFonts w:ascii="Cambria Math" w:eastAsia="Calibri" w:hAnsi="Cambria Math"/>
            <w:sz w:val="22"/>
            <w:szCs w:val="22"/>
            <w:lang w:val="en-GB" w:eastAsia="en-US"/>
          </w:rPr>
          <m:t>W</m:t>
        </m:r>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va</m:t>
            </m:r>
          </m:e>
          <m:sub>
            <m:r>
              <w:rPr>
                <w:rFonts w:ascii="Cambria Math" w:eastAsia="Calibri" w:hAnsi="Cambria Math"/>
                <w:sz w:val="22"/>
                <w:szCs w:val="22"/>
                <w:lang w:val="en-GB" w:eastAsia="en-US"/>
              </w:rPr>
              <m:t>rt</m:t>
            </m:r>
          </m:sub>
        </m:sSub>
      </m:oMath>
      <w:r w:rsidRPr="001013CE">
        <w:rPr>
          <w:sz w:val="22"/>
          <w:szCs w:val="22"/>
          <w:lang w:val="en-GB" w:eastAsia="en-US"/>
        </w:rPr>
        <w:t xml:space="preserve"> is the dependent variable pre-multiplied by the distance-based weights matrix </w:t>
      </w:r>
      <m:oMath>
        <m:r>
          <w:rPr>
            <w:rFonts w:ascii="Cambria Math" w:eastAsia="Calibri" w:hAnsi="Cambria Math"/>
            <w:sz w:val="22"/>
            <w:szCs w:val="22"/>
            <w:lang w:val="en-GB" w:eastAsia="en-US"/>
          </w:rPr>
          <m:t>W</m:t>
        </m:r>
      </m:oMath>
      <w:r w:rsidRPr="001013CE">
        <w:rPr>
          <w:sz w:val="22"/>
          <w:szCs w:val="22"/>
          <w:lang w:val="en-GB" w:eastAsia="en-US"/>
        </w:rPr>
        <w:t xml:space="preserve">. This term can be interpreted as the average of the values of the dependent variable in the neighbouring locations (Anselin, 2001). The spatial autoregressive parameter for the dependent variable is indicated by </w:t>
      </w:r>
      <m:oMath>
        <m:r>
          <w:rPr>
            <w:rFonts w:ascii="Cambria Math" w:eastAsia="Calibri" w:hAnsi="Cambria Math"/>
            <w:sz w:val="22"/>
            <w:szCs w:val="22"/>
            <w:lang w:val="en-GB" w:eastAsia="en-US"/>
          </w:rPr>
          <m:t>λ</m:t>
        </m:r>
      </m:oMath>
      <w:r w:rsidRPr="001013CE">
        <w:rPr>
          <w:sz w:val="22"/>
          <w:szCs w:val="22"/>
          <w:lang w:val="en-GB" w:eastAsia="en-US"/>
        </w:rPr>
        <w:t xml:space="preserve">. The parameters of the model should be estimated by maximum likelihood (LeSage, 1999). However, </w:t>
      </w:r>
      <w:r w:rsidRPr="001013CE">
        <w:rPr>
          <w:rFonts w:eastAsia="Calibri"/>
          <w:sz w:val="22"/>
          <w:szCs w:val="22"/>
          <w:lang w:val="en-GB" w:eastAsia="en-US"/>
        </w:rPr>
        <w:t xml:space="preserve">in view of the results of the Moran I test (section 4), which shows that the three variables in the production function are spatially correlated, a third specification of the production function is estimated through a </w:t>
      </w:r>
      <w:r w:rsidRPr="001013CE">
        <w:rPr>
          <w:rFonts w:eastAsia="Calibri"/>
          <w:i/>
          <w:sz w:val="22"/>
          <w:szCs w:val="22"/>
          <w:lang w:val="en-GB" w:eastAsia="en-US"/>
        </w:rPr>
        <w:t>Spatial Durbin Model</w:t>
      </w:r>
      <w:r w:rsidRPr="001013CE">
        <w:rPr>
          <w:rFonts w:eastAsia="Calibri"/>
          <w:sz w:val="22"/>
          <w:szCs w:val="22"/>
          <w:lang w:val="en-GB" w:eastAsia="en-US"/>
        </w:rPr>
        <w:t xml:space="preserve"> (SDM). Testing the joint significance of the coefficients of the spatially lagged independent variable is a functional criterion to choose between the SAR model and the SDM model (Belotti et al., 2013).  Subsequently, the production function regression is defined by equation 7 below:</w:t>
      </w:r>
    </w:p>
    <w:p w:rsidR="001013CE" w:rsidRPr="001013CE" w:rsidRDefault="001013CE" w:rsidP="001013CE">
      <w:pPr>
        <w:spacing w:before="240" w:after="240" w:line="360" w:lineRule="auto"/>
        <w:ind w:firstLine="357"/>
        <w:jc w:val="right"/>
        <w:rPr>
          <w:i/>
          <w:iCs/>
          <w:color w:val="000000"/>
          <w:sz w:val="22"/>
          <w:szCs w:val="22"/>
          <w:lang w:val="en-GB" w:eastAsia="en-US"/>
        </w:rPr>
      </w:pPr>
      <m:oMath>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va</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α</m:t>
            </m:r>
          </m:e>
          <m:sub>
            <m:r>
              <w:rPr>
                <w:rFonts w:ascii="Cambria Math" w:eastAsia="Calibri" w:hAnsi="Cambria Math"/>
                <w:color w:val="000000"/>
                <w:sz w:val="22"/>
                <w:szCs w:val="22"/>
                <w:lang w:val="en-GB" w:eastAsia="en-US"/>
              </w:rPr>
              <m:t>r</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λW</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va</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+β</m:t>
            </m:r>
          </m:e>
          <m:sub>
            <m:r>
              <w:rPr>
                <w:rFonts w:ascii="Cambria Math" w:eastAsia="Calibri" w:hAnsi="Cambria Math"/>
                <w:color w:val="000000"/>
                <w:sz w:val="22"/>
                <w:szCs w:val="22"/>
                <w:lang w:val="en-GB" w:eastAsia="en-US"/>
              </w:rPr>
              <m:t>1</m:t>
            </m:r>
          </m:sub>
        </m:sSub>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k</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β</m:t>
            </m:r>
          </m:e>
          <m:sub>
            <m:r>
              <w:rPr>
                <w:rFonts w:ascii="Cambria Math" w:eastAsia="Calibri" w:hAnsi="Cambria Math"/>
                <w:color w:val="000000"/>
                <w:sz w:val="22"/>
                <w:szCs w:val="22"/>
                <w:lang w:val="en-GB" w:eastAsia="en-US"/>
              </w:rPr>
              <m:t>2</m:t>
            </m:r>
          </m:sub>
        </m:sSub>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l</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γ</m:t>
            </m:r>
          </m:e>
          <m:sub>
            <m:r>
              <w:rPr>
                <w:rFonts w:ascii="Cambria Math" w:eastAsia="Calibri" w:hAnsi="Cambria Math"/>
                <w:color w:val="000000"/>
                <w:sz w:val="22"/>
                <w:szCs w:val="22"/>
                <w:lang w:val="en-GB" w:eastAsia="en-US"/>
              </w:rPr>
              <m:t>1</m:t>
            </m:r>
          </m:sub>
        </m:sSub>
        <m:r>
          <w:rPr>
            <w:rFonts w:ascii="Cambria Math" w:eastAsia="Calibri" w:hAnsi="Cambria Math"/>
            <w:color w:val="000000"/>
            <w:sz w:val="22"/>
            <w:szCs w:val="22"/>
            <w:lang w:val="en-GB" w:eastAsia="en-US"/>
          </w:rPr>
          <m:t>W</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k</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γ</m:t>
            </m:r>
          </m:e>
          <m:sub>
            <m:r>
              <w:rPr>
                <w:rFonts w:ascii="Cambria Math" w:eastAsia="Calibri" w:hAnsi="Cambria Math"/>
                <w:color w:val="000000"/>
                <w:sz w:val="22"/>
                <w:szCs w:val="22"/>
                <w:lang w:val="en-GB" w:eastAsia="en-US"/>
              </w:rPr>
              <m:t>2</m:t>
            </m:r>
          </m:sub>
        </m:sSub>
        <m:r>
          <w:rPr>
            <w:rFonts w:ascii="Cambria Math" w:eastAsia="Calibri" w:hAnsi="Cambria Math"/>
            <w:color w:val="000000"/>
            <w:sz w:val="22"/>
            <w:szCs w:val="22"/>
            <w:lang w:val="en-GB" w:eastAsia="en-US"/>
          </w:rPr>
          <m:t>W</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k</m:t>
            </m:r>
          </m:e>
          <m:sub>
            <m:r>
              <w:rPr>
                <w:rFonts w:ascii="Cambria Math" w:eastAsia="Calibri" w:hAnsi="Cambria Math"/>
                <w:color w:val="000000"/>
                <w:sz w:val="22"/>
                <w:szCs w:val="22"/>
                <w:lang w:val="en-GB" w:eastAsia="en-US"/>
              </w:rPr>
              <m:t>rt</m:t>
            </m:r>
          </m:sub>
        </m:sSub>
        <m:r>
          <w:rPr>
            <w:rFonts w:ascii="Cambria Math" w:eastAsia="Calibri" w:hAnsi="Cambria Math"/>
            <w:color w:val="000000"/>
            <w:sz w:val="22"/>
            <w:szCs w:val="22"/>
            <w:lang w:val="en-GB" w:eastAsia="en-US"/>
          </w:rPr>
          <m:t>+</m:t>
        </m:r>
        <m:sSub>
          <m:sSubPr>
            <m:ctrlPr>
              <w:rPr>
                <w:rFonts w:ascii="Cambria Math" w:eastAsia="Calibri" w:hAnsi="Cambria Math"/>
                <w:i/>
                <w:color w:val="000000"/>
                <w:sz w:val="22"/>
                <w:szCs w:val="22"/>
                <w:lang w:val="en-GB" w:eastAsia="es-ES_tradnl"/>
              </w:rPr>
            </m:ctrlPr>
          </m:sSubPr>
          <m:e>
            <m:r>
              <w:rPr>
                <w:rFonts w:ascii="Cambria Math" w:eastAsia="Calibri" w:hAnsi="Cambria Math"/>
                <w:color w:val="000000"/>
                <w:sz w:val="22"/>
                <w:szCs w:val="22"/>
                <w:lang w:val="en-GB" w:eastAsia="en-US"/>
              </w:rPr>
              <m:t>dummies</m:t>
            </m:r>
          </m:e>
          <m:sub>
            <m:r>
              <w:rPr>
                <w:rFonts w:ascii="Cambria Math" w:eastAsia="Calibri" w:hAnsi="Cambria Math"/>
                <w:color w:val="000000"/>
                <w:sz w:val="22"/>
                <w:szCs w:val="22"/>
                <w:lang w:val="en-GB" w:eastAsia="en-US"/>
              </w:rPr>
              <m:t>t</m:t>
            </m:r>
          </m:sub>
        </m:sSub>
        <m:r>
          <w:rPr>
            <w:rFonts w:ascii="Cambria Math" w:eastAsia="Calibri" w:hAnsi="Cambria Math"/>
            <w:color w:val="000000"/>
            <w:sz w:val="22"/>
            <w:szCs w:val="22"/>
            <w:lang w:val="en-GB" w:eastAsia="en-US"/>
          </w:rPr>
          <m:t>+</m:t>
        </m:r>
        <m:sSub>
          <m:sSubPr>
            <m:ctrlPr>
              <w:rPr>
                <w:rFonts w:ascii="Cambria Math" w:eastAsia="Calibri" w:hAnsi="Cambria Math"/>
                <w:iCs/>
                <w:color w:val="000000"/>
                <w:sz w:val="22"/>
                <w:szCs w:val="22"/>
                <w:lang w:val="en-GB" w:eastAsia="en-US"/>
              </w:rPr>
            </m:ctrlPr>
          </m:sSubPr>
          <m:e>
            <m:r>
              <w:rPr>
                <w:rFonts w:ascii="Cambria Math" w:eastAsia="Calibri" w:hAnsi="Cambria Math"/>
                <w:color w:val="000000"/>
                <w:sz w:val="22"/>
                <w:szCs w:val="22"/>
                <w:lang w:val="en-GB" w:eastAsia="en-US"/>
              </w:rPr>
              <m:t>ε</m:t>
            </m:r>
          </m:e>
          <m:sub>
            <m:r>
              <w:rPr>
                <w:rFonts w:ascii="Cambria Math" w:eastAsia="Calibri" w:hAnsi="Cambria Math"/>
                <w:color w:val="000000"/>
                <w:sz w:val="22"/>
                <w:szCs w:val="22"/>
                <w:lang w:val="en-GB" w:eastAsia="en-US"/>
              </w:rPr>
              <m:t>rt</m:t>
            </m:r>
          </m:sub>
        </m:sSub>
      </m:oMath>
      <w:r w:rsidRPr="001013CE">
        <w:rPr>
          <w:i/>
          <w:iCs/>
          <w:color w:val="000000"/>
          <w:sz w:val="22"/>
          <w:szCs w:val="22"/>
          <w:lang w:val="en-GB" w:eastAsia="en-US"/>
        </w:rPr>
        <w:t xml:space="preserve">  </w:t>
      </w:r>
      <w:r w:rsidRPr="001013CE">
        <w:rPr>
          <w:rFonts w:eastAsia="Calibri"/>
          <w:iCs/>
          <w:color w:val="000000"/>
          <w:sz w:val="22"/>
          <w:szCs w:val="22"/>
          <w:lang w:val="en-GB" w:eastAsia="en-US"/>
        </w:rPr>
        <w:t xml:space="preserve">( </w:t>
      </w:r>
      <w:r w:rsidRPr="001013CE">
        <w:rPr>
          <w:rFonts w:eastAsia="Calibri"/>
          <w:iCs/>
          <w:color w:val="000000"/>
          <w:sz w:val="22"/>
          <w:szCs w:val="22"/>
          <w:lang w:val="en-GB" w:eastAsia="en-US"/>
        </w:rPr>
        <w:fldChar w:fldCharType="begin"/>
      </w:r>
      <w:r w:rsidRPr="001013CE">
        <w:rPr>
          <w:rFonts w:eastAsia="Calibri"/>
          <w:iCs/>
          <w:color w:val="000000"/>
          <w:sz w:val="22"/>
          <w:szCs w:val="22"/>
          <w:lang w:val="en-GB" w:eastAsia="en-US"/>
        </w:rPr>
        <w:instrText xml:space="preserve"> SEQ ( \* ARABIC </w:instrText>
      </w:r>
      <w:r w:rsidRPr="001013CE">
        <w:rPr>
          <w:rFonts w:eastAsia="Calibri"/>
          <w:iCs/>
          <w:color w:val="000000"/>
          <w:sz w:val="22"/>
          <w:szCs w:val="22"/>
          <w:lang w:val="en-GB" w:eastAsia="en-US"/>
        </w:rPr>
        <w:fldChar w:fldCharType="separate"/>
      </w:r>
      <w:r w:rsidRPr="001013CE">
        <w:rPr>
          <w:rFonts w:eastAsia="Calibri"/>
          <w:iCs/>
          <w:noProof/>
          <w:color w:val="000000"/>
          <w:sz w:val="22"/>
          <w:szCs w:val="22"/>
          <w:lang w:val="en-GB" w:eastAsia="en-US"/>
        </w:rPr>
        <w:t>7</w:t>
      </w:r>
      <w:r w:rsidRPr="001013CE">
        <w:rPr>
          <w:rFonts w:eastAsia="Calibri"/>
          <w:iCs/>
          <w:color w:val="000000"/>
          <w:sz w:val="22"/>
          <w:szCs w:val="22"/>
          <w:lang w:val="en-GB" w:eastAsia="en-US"/>
        </w:rPr>
        <w:fldChar w:fldCharType="end"/>
      </w:r>
      <w:r w:rsidRPr="001013CE">
        <w:rPr>
          <w:rFonts w:eastAsia="Calibri"/>
          <w:iCs/>
          <w:color w:val="000000"/>
          <w:sz w:val="22"/>
          <w:szCs w:val="22"/>
          <w:lang w:val="en-GB" w:eastAsia="en-US"/>
        </w:rPr>
        <w:t xml:space="preserve"> )</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 xml:space="preserve">Where </w:t>
      </w:r>
      <w:r w:rsidRPr="001013CE">
        <w:rPr>
          <w:sz w:val="22"/>
          <w:szCs w:val="22"/>
          <w:lang w:val="en-GB" w:eastAsia="en-US"/>
        </w:rPr>
        <w:t xml:space="preserve">the parameters vectors for the spatial autoregressive independent variables are indicated by </w:t>
      </w:r>
      <m:oMath>
        <m:r>
          <w:rPr>
            <w:rFonts w:ascii="Cambria Math" w:hAnsi="Cambria Math"/>
            <w:sz w:val="22"/>
            <w:szCs w:val="22"/>
            <w:lang w:val="en-GB" w:eastAsia="en-US"/>
          </w:rPr>
          <m:t>γ</m:t>
        </m:r>
      </m:oMath>
      <w:r w:rsidRPr="001013CE">
        <w:rPr>
          <w:sz w:val="22"/>
          <w:szCs w:val="22"/>
          <w:lang w:val="en-GB" w:eastAsia="en-US"/>
        </w:rPr>
        <w:t xml:space="preserve">. </w:t>
      </w:r>
      <w:r w:rsidRPr="001013CE">
        <w:rPr>
          <w:rFonts w:eastAsia="Calibri"/>
          <w:sz w:val="22"/>
          <w:szCs w:val="22"/>
          <w:lang w:val="en-GB" w:eastAsia="en-US"/>
        </w:rPr>
        <w:t xml:space="preserve">In what respect to the weight matrix </w:t>
      </w:r>
      <m:oMath>
        <m:r>
          <w:rPr>
            <w:rFonts w:ascii="Cambria Math" w:eastAsia="Calibri" w:hAnsi="Cambria Math"/>
            <w:sz w:val="22"/>
            <w:szCs w:val="22"/>
            <w:lang w:val="en-GB" w:eastAsia="en-US"/>
          </w:rPr>
          <m:t>W</m:t>
        </m:r>
      </m:oMath>
      <w:r w:rsidRPr="001013CE">
        <w:rPr>
          <w:rFonts w:eastAsia="Calibri"/>
          <w:sz w:val="22"/>
          <w:szCs w:val="22"/>
          <w:lang w:val="en-GB" w:eastAsia="en-US"/>
        </w:rPr>
        <w:t xml:space="preserve">, it consists of </w:t>
      </w:r>
      <m:oMath>
        <m:r>
          <w:rPr>
            <w:rFonts w:ascii="Cambria Math" w:eastAsia="Calibri" w:hAnsi="Cambria Math"/>
            <w:sz w:val="22"/>
            <w:szCs w:val="22"/>
            <w:lang w:val="en-GB" w:eastAsia="en-US"/>
          </w:rPr>
          <m:t>N×N</m:t>
        </m:r>
      </m:oMath>
      <w:r w:rsidRPr="001013CE">
        <w:rPr>
          <w:rFonts w:eastAsia="Calibri"/>
          <w:sz w:val="22"/>
          <w:szCs w:val="22"/>
          <w:lang w:val="en-GB" w:eastAsia="en-US"/>
        </w:rPr>
        <w:t xml:space="preserve"> elements </w:t>
      </w:r>
      <w:r w:rsidRPr="001013CE">
        <w:rPr>
          <w:rFonts w:eastAsia="Calibri"/>
          <w:sz w:val="22"/>
          <w:szCs w:val="22"/>
          <w:lang w:val="en-GB" w:eastAsia="en-US"/>
        </w:rPr>
        <w:lastRenderedPageBreak/>
        <w:t xml:space="preserve">corresponding to the distances between the centroids of the geometric areas described by the coordinates of the boundaries of regions </w:t>
      </w:r>
      <m:oMath>
        <m:r>
          <w:rPr>
            <w:rFonts w:ascii="Cambria Math" w:eastAsia="Calibri" w:hAnsi="Cambria Math"/>
            <w:sz w:val="22"/>
            <w:szCs w:val="22"/>
            <w:lang w:val="en-GB" w:eastAsia="en-US"/>
          </w:rPr>
          <m:t>r</m:t>
        </m:r>
      </m:oMath>
      <w:r w:rsidRPr="001013CE">
        <w:rPr>
          <w:rFonts w:eastAsia="Calibri"/>
          <w:sz w:val="22"/>
          <w:szCs w:val="22"/>
          <w:lang w:val="en-GB" w:eastAsia="en-US"/>
        </w:rPr>
        <w:t xml:space="preserve"> and </w:t>
      </w:r>
      <m:oMath>
        <m:r>
          <w:rPr>
            <w:rFonts w:ascii="Cambria Math" w:eastAsia="Calibri" w:hAnsi="Cambria Math"/>
            <w:sz w:val="22"/>
            <w:szCs w:val="22"/>
            <w:lang w:val="en-GB" w:eastAsia="en-US"/>
          </w:rPr>
          <m:t>s</m:t>
        </m:r>
      </m:oMath>
      <w:r w:rsidRPr="001013CE">
        <w:rPr>
          <w:sz w:val="22"/>
          <w:szCs w:val="22"/>
          <w:lang w:val="en-GB" w:eastAsia="en-US"/>
        </w:rPr>
        <w:t>.</w:t>
      </w:r>
      <w:r w:rsidRPr="001013CE">
        <w:rPr>
          <w:rFonts w:eastAsia="Calibri"/>
          <w:sz w:val="22"/>
          <w:szCs w:val="22"/>
          <w:lang w:val="en-GB" w:eastAsia="en-US"/>
        </w:rPr>
        <w:t xml:space="preserve"> The weights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w</m:t>
            </m:r>
          </m:e>
          <m:sub>
            <m:r>
              <w:rPr>
                <w:rFonts w:ascii="Cambria Math" w:eastAsia="Calibri" w:hAnsi="Cambria Math"/>
                <w:sz w:val="22"/>
                <w:szCs w:val="22"/>
                <w:lang w:val="en-GB" w:eastAsia="en-US"/>
              </w:rPr>
              <m:t>rs</m:t>
            </m:r>
          </m:sub>
        </m:sSub>
        <m:r>
          <w:rPr>
            <w:rFonts w:ascii="Cambria Math" w:eastAsia="Calibri" w:hAnsi="Cambria Math"/>
            <w:sz w:val="22"/>
            <w:szCs w:val="22"/>
            <w:lang w:val="en-GB" w:eastAsia="en-US"/>
          </w:rPr>
          <m:t xml:space="preserve"> </m:t>
        </m:r>
      </m:oMath>
      <w:r w:rsidRPr="001013CE">
        <w:rPr>
          <w:rFonts w:eastAsia="Calibri"/>
          <w:sz w:val="22"/>
          <w:szCs w:val="22"/>
          <w:lang w:val="en-GB" w:eastAsia="en-US"/>
        </w:rPr>
        <w:t>in the matrix are calculated through the squares of the inverse distances. The reasoning for this is that a variable observed in a certain area of the geographical space is more closely related to its outcome in surrounding locations than in distant locations. As it is common in the literature, the matrix is then row-standardized to have all the elements in a row summing to unity (Anselin, 2003). Moreover, the row-standardization facilitates interpretation, because the spatial lag of a variable represents the weighted average of the variable in neighbouring regions, and locates between 0 and 1. Finally, additional weights matrices are built using the distance ranges 0-400 km and 400-800 in order to analyse the scope of productivity spillovers in terms of distance, as well as a contiguity matrix</w:t>
      </w:r>
      <w:r w:rsidRPr="001013CE">
        <w:rPr>
          <w:rFonts w:eastAsia="Calibri"/>
          <w:sz w:val="22"/>
          <w:szCs w:val="22"/>
          <w:vertAlign w:val="superscript"/>
          <w:lang w:val="en-GB" w:eastAsia="en-US"/>
        </w:rPr>
        <w:footnoteReference w:id="7"/>
      </w:r>
      <w:r w:rsidRPr="001013CE">
        <w:rPr>
          <w:rFonts w:eastAsia="Calibri"/>
          <w:sz w:val="22"/>
          <w:szCs w:val="22"/>
          <w:lang w:val="en-GB" w:eastAsia="en-US"/>
        </w:rPr>
        <w:t xml:space="preserve">, which permits to explore the cross-border effects (section 6). </w:t>
      </w:r>
    </w:p>
    <w:p w:rsidR="001013CE" w:rsidRPr="001013CE" w:rsidRDefault="001013CE" w:rsidP="001013CE">
      <w:pPr>
        <w:spacing w:before="120" w:after="120" w:line="360" w:lineRule="auto"/>
        <w:ind w:firstLine="357"/>
        <w:jc w:val="both"/>
        <w:rPr>
          <w:sz w:val="22"/>
          <w:lang w:val="en-GB" w:eastAsia="en-US"/>
        </w:rPr>
      </w:pPr>
    </w:p>
    <w:p w:rsidR="001013CE" w:rsidRPr="001013CE" w:rsidRDefault="001013CE" w:rsidP="001013CE">
      <w:pPr>
        <w:keepNext/>
        <w:keepLines/>
        <w:numPr>
          <w:ilvl w:val="0"/>
          <w:numId w:val="1"/>
        </w:numPr>
        <w:spacing w:before="120" w:after="120" w:line="360" w:lineRule="auto"/>
        <w:jc w:val="both"/>
        <w:outlineLvl w:val="0"/>
        <w:rPr>
          <w:b/>
          <w:color w:val="000000"/>
          <w:lang w:val="en-GB" w:eastAsia="en-US"/>
        </w:rPr>
      </w:pPr>
      <w:bookmarkStart w:id="6" w:name="_Toc446283075"/>
      <w:bookmarkStart w:id="7" w:name="_Toc448256129"/>
      <w:r w:rsidRPr="001013CE">
        <w:rPr>
          <w:b/>
          <w:color w:val="000000"/>
          <w:lang w:val="en-GB" w:eastAsia="en-US"/>
        </w:rPr>
        <w:t>Data</w:t>
      </w:r>
      <w:bookmarkEnd w:id="6"/>
      <w:bookmarkEnd w:id="7"/>
      <w:r w:rsidRPr="001013CE">
        <w:rPr>
          <w:b/>
          <w:color w:val="000000"/>
          <w:lang w:val="en-GB" w:eastAsia="en-US"/>
        </w:rPr>
        <w:t xml:space="preserve"> and some introductory issues on Spanish regional productivity</w:t>
      </w:r>
    </w:p>
    <w:p w:rsidR="001013CE" w:rsidRPr="001013CE" w:rsidRDefault="001013CE" w:rsidP="001013CE">
      <w:pPr>
        <w:spacing w:before="120" w:after="120" w:line="360" w:lineRule="auto"/>
        <w:ind w:firstLine="357"/>
        <w:jc w:val="both"/>
        <w:rPr>
          <w:rFonts w:eastAsia="Calibri"/>
          <w:sz w:val="22"/>
          <w:lang w:val="en-GB" w:eastAsia="en-US"/>
        </w:rPr>
      </w:pPr>
      <w:r w:rsidRPr="001013CE">
        <w:rPr>
          <w:rFonts w:eastAsia="Calibri"/>
          <w:sz w:val="22"/>
          <w:lang w:val="en-GB" w:eastAsia="en-US"/>
        </w:rPr>
        <w:t>The measurement of productivity is carried for provinces, which are equivalent to NUTS3</w:t>
      </w:r>
      <w:r w:rsidRPr="001013CE">
        <w:rPr>
          <w:rFonts w:eastAsia="Calibri"/>
          <w:sz w:val="22"/>
          <w:vertAlign w:val="superscript"/>
          <w:lang w:val="en-GB" w:eastAsia="en-US"/>
        </w:rPr>
        <w:footnoteReference w:id="8"/>
      </w:r>
      <w:r w:rsidRPr="001013CE">
        <w:rPr>
          <w:rFonts w:eastAsia="Calibri"/>
          <w:sz w:val="22"/>
          <w:lang w:val="en-GB" w:eastAsia="en-US"/>
        </w:rPr>
        <w:t xml:space="preserve">. According to this division, there are 50 Provinces in total. Geospatial data about Spanish territories is extracted in </w:t>
      </w:r>
      <w:r w:rsidRPr="001013CE">
        <w:rPr>
          <w:rFonts w:eastAsia="Calibri"/>
          <w:i/>
          <w:sz w:val="22"/>
          <w:lang w:val="en-GB" w:eastAsia="en-US"/>
        </w:rPr>
        <w:t xml:space="preserve">shapefile </w:t>
      </w:r>
      <w:r w:rsidRPr="001013CE">
        <w:rPr>
          <w:rFonts w:eastAsia="Calibri"/>
          <w:sz w:val="22"/>
          <w:lang w:val="en-GB" w:eastAsia="en-US"/>
        </w:rPr>
        <w:t>format from the GADM geographic database of global administrative areas</w:t>
      </w:r>
      <w:r w:rsidRPr="001013CE">
        <w:rPr>
          <w:rFonts w:eastAsia="Calibri"/>
          <w:sz w:val="22"/>
          <w:vertAlign w:val="superscript"/>
          <w:lang w:val="en-GB" w:eastAsia="en-US"/>
        </w:rPr>
        <w:footnoteReference w:id="9"/>
      </w:r>
      <w:r w:rsidRPr="001013CE">
        <w:rPr>
          <w:rFonts w:eastAsia="Calibri"/>
          <w:sz w:val="22"/>
          <w:lang w:val="en-GB" w:eastAsia="en-US"/>
        </w:rPr>
        <w:t>. The Autonomous Cities of Ceuta y Melilla are excluded from the study due to the presence of missing values negatively affecting the quality of the results</w:t>
      </w:r>
      <w:r w:rsidRPr="001013CE">
        <w:rPr>
          <w:rFonts w:eastAsia="Calibri"/>
          <w:sz w:val="22"/>
          <w:vertAlign w:val="superscript"/>
          <w:lang w:val="en-GB" w:eastAsia="en-US"/>
        </w:rPr>
        <w:footnoteReference w:id="10"/>
      </w:r>
      <w:r w:rsidRPr="001013CE">
        <w:rPr>
          <w:rFonts w:eastAsia="Calibri"/>
          <w:sz w:val="22"/>
          <w:lang w:val="en-GB" w:eastAsia="en-US"/>
        </w:rPr>
        <w:t>. In addition, both cities are located overseas and the squared inverse distances might wrongly capture such relation. However, the islands – Balearic and Canary – are maintained because their population is enough relative to the rest of regions, but also present similar levels of economic activity to be relevant for this study</w:t>
      </w:r>
      <w:r w:rsidRPr="001013CE">
        <w:rPr>
          <w:rFonts w:eastAsia="Calibri"/>
          <w:sz w:val="22"/>
          <w:vertAlign w:val="superscript"/>
          <w:lang w:val="en-GB" w:eastAsia="en-US"/>
        </w:rPr>
        <w:footnoteReference w:id="11"/>
      </w:r>
      <w:r w:rsidRPr="001013CE">
        <w:rPr>
          <w:rFonts w:eastAsia="Calibri"/>
          <w:sz w:val="22"/>
          <w:lang w:val="en-GB" w:eastAsia="en-US"/>
        </w:rPr>
        <w:t>.</w:t>
      </w:r>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t xml:space="preserve">In what respect to the measurement of productivity, statistical data about output and factor inputs is collected from the Spanish statistics office (INE) and covers the period 1995-2008, which is the longest series available for provinces. There is only one exception, which is the data for the stock of productive capital measured in constant 2005 euros, provided by BBVA Foundation and </w:t>
      </w:r>
      <w:r w:rsidRPr="001013CE">
        <w:rPr>
          <w:rFonts w:eastAsia="Calibri"/>
          <w:sz w:val="22"/>
          <w:szCs w:val="22"/>
          <w:lang w:val="en-GB" w:eastAsia="en-US"/>
        </w:rPr>
        <w:lastRenderedPageBreak/>
        <w:t xml:space="preserve">IVIE (2015a). Output data consist of the nominal gross value added (GVA) at basic prices/factor costs, also converted to constant 2005 euros using the GVA deflator calculated by ADF (2015a). At this level of aggregation, the number of employed people is the only variable on labour considered. Finally, data on the compensation of employees from the INE serves to compute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α</m:t>
            </m:r>
          </m:e>
          <m:sub>
            <m:r>
              <w:rPr>
                <w:rFonts w:ascii="Cambria Math" w:eastAsia="Calibri" w:hAnsi="Cambria Math"/>
                <w:sz w:val="22"/>
                <w:szCs w:val="22"/>
                <w:lang w:val="en-GB" w:eastAsia="en-US"/>
              </w:rPr>
              <m:t>i</m:t>
            </m:r>
          </m:sub>
        </m:sSub>
      </m:oMath>
      <w:r w:rsidRPr="001013CE">
        <w:rPr>
          <w:rFonts w:eastAsia="Calibri"/>
          <w:sz w:val="22"/>
          <w:szCs w:val="22"/>
          <w:lang w:val="en-GB" w:eastAsia="en-US"/>
        </w:rPr>
        <w:t xml:space="preserve"> (equation 4). </w:t>
      </w:r>
    </w:p>
    <w:p w:rsidR="001013CE" w:rsidRPr="001013CE" w:rsidRDefault="001013CE" w:rsidP="001013CE">
      <w:pPr>
        <w:keepNext/>
        <w:spacing w:after="200"/>
        <w:jc w:val="center"/>
        <w:rPr>
          <w:rFonts w:eastAsia="Calibri"/>
          <w:b/>
          <w:iCs/>
          <w:color w:val="000000"/>
          <w:sz w:val="20"/>
          <w:szCs w:val="20"/>
          <w:lang w:val="en-GB" w:eastAsia="en-US"/>
        </w:rPr>
      </w:pPr>
      <w:bookmarkStart w:id="8" w:name="_Toc447149158"/>
      <w:bookmarkStart w:id="9" w:name="_Toc448256179"/>
      <w:r w:rsidRPr="001013CE">
        <w:rPr>
          <w:rFonts w:eastAsia="Calibri"/>
          <w:b/>
          <w:iCs/>
          <w:color w:val="000000"/>
          <w:sz w:val="20"/>
          <w:szCs w:val="20"/>
          <w:lang w:val="en-GB" w:eastAsia="en-US"/>
        </w:rPr>
        <w:t>Figure 1.</w:t>
      </w:r>
      <w:r w:rsidRPr="001013CE">
        <w:rPr>
          <w:rFonts w:eastAsia="Calibri"/>
          <w:b/>
          <w:iCs/>
          <w:noProof/>
          <w:color w:val="000000"/>
          <w:sz w:val="20"/>
          <w:szCs w:val="20"/>
          <w:lang w:val="en-GB" w:eastAsia="en-US"/>
        </w:rPr>
        <w:t xml:space="preserve"> Value added in constant prices, stock of productive capital and TFP. NUTS3, </w:t>
      </w:r>
      <w:bookmarkEnd w:id="8"/>
      <w:bookmarkEnd w:id="9"/>
      <w:r w:rsidRPr="001013CE">
        <w:rPr>
          <w:rFonts w:eastAsia="Calibri"/>
          <w:b/>
          <w:iCs/>
          <w:noProof/>
          <w:color w:val="000000"/>
          <w:sz w:val="20"/>
          <w:szCs w:val="20"/>
          <w:lang w:val="en-GB" w:eastAsia="en-US"/>
        </w:rPr>
        <w:t>2007</w:t>
      </w:r>
    </w:p>
    <w:tbl>
      <w:tblPr>
        <w:tblStyle w:val="Tablaconcuadrcula"/>
        <w:tblW w:w="872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3844"/>
        <w:gridCol w:w="714"/>
      </w:tblGrid>
      <w:tr w:rsidR="001013CE" w:rsidRPr="001013CE" w:rsidTr="001013CE">
        <w:tc>
          <w:tcPr>
            <w:tcW w:w="4586" w:type="dxa"/>
          </w:tcPr>
          <w:p w:rsidR="001013CE" w:rsidRPr="001013CE" w:rsidRDefault="001013CE" w:rsidP="001013CE">
            <w:pPr>
              <w:jc w:val="center"/>
              <w:rPr>
                <w:b/>
                <w:color w:val="000000"/>
                <w:sz w:val="20"/>
                <w:szCs w:val="20"/>
                <w:lang w:val="en-GB" w:eastAsia="en-US"/>
              </w:rPr>
            </w:pPr>
            <w:r w:rsidRPr="001013CE">
              <w:rPr>
                <w:b/>
                <w:iCs/>
                <w:color w:val="000000"/>
                <w:sz w:val="20"/>
                <w:szCs w:val="20"/>
                <w:lang w:val="en-GB" w:eastAsia="en-US"/>
              </w:rPr>
              <w:t>Value added</w:t>
            </w:r>
            <w:r w:rsidRPr="001013CE">
              <w:rPr>
                <w:b/>
                <w:noProof/>
                <w:color w:val="000000"/>
                <w:sz w:val="20"/>
                <w:szCs w:val="20"/>
              </w:rPr>
              <w:drawing>
                <wp:inline distT="0" distB="0" distL="0" distR="0">
                  <wp:extent cx="2567940" cy="2232660"/>
                  <wp:effectExtent l="0" t="0" r="0" b="0"/>
                  <wp:docPr id="12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7940" cy="2232660"/>
                          </a:xfrm>
                          <a:prstGeom prst="rect">
                            <a:avLst/>
                          </a:prstGeom>
                          <a:noFill/>
                          <a:ln>
                            <a:noFill/>
                          </a:ln>
                        </pic:spPr>
                      </pic:pic>
                    </a:graphicData>
                  </a:graphic>
                </wp:inline>
              </w:drawing>
            </w:r>
          </w:p>
        </w:tc>
        <w:tc>
          <w:tcPr>
            <w:tcW w:w="4139" w:type="dxa"/>
            <w:gridSpan w:val="2"/>
          </w:tcPr>
          <w:p w:rsidR="001013CE" w:rsidRPr="001013CE" w:rsidRDefault="001013CE" w:rsidP="001013CE">
            <w:pPr>
              <w:jc w:val="center"/>
              <w:rPr>
                <w:b/>
                <w:color w:val="000000"/>
                <w:sz w:val="20"/>
                <w:szCs w:val="20"/>
                <w:lang w:val="en-GB" w:eastAsia="en-US"/>
              </w:rPr>
            </w:pPr>
            <w:r w:rsidRPr="001013CE">
              <w:rPr>
                <w:b/>
                <w:iCs/>
                <w:color w:val="000000"/>
                <w:sz w:val="20"/>
                <w:szCs w:val="20"/>
                <w:lang w:val="en-GB" w:eastAsia="en-US"/>
              </w:rPr>
              <w:t>Productive capital</w:t>
            </w:r>
            <w:r w:rsidRPr="001013CE">
              <w:rPr>
                <w:b/>
                <w:noProof/>
                <w:color w:val="000000"/>
                <w:sz w:val="20"/>
                <w:szCs w:val="20"/>
              </w:rPr>
              <w:drawing>
                <wp:inline distT="0" distB="0" distL="0" distR="0">
                  <wp:extent cx="2567940" cy="2232660"/>
                  <wp:effectExtent l="0" t="0" r="0" b="0"/>
                  <wp:docPr id="1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7940" cy="2232660"/>
                          </a:xfrm>
                          <a:prstGeom prst="rect">
                            <a:avLst/>
                          </a:prstGeom>
                          <a:noFill/>
                          <a:ln>
                            <a:noFill/>
                          </a:ln>
                        </pic:spPr>
                      </pic:pic>
                    </a:graphicData>
                  </a:graphic>
                </wp:inline>
              </w:drawing>
            </w:r>
          </w:p>
        </w:tc>
      </w:tr>
      <w:tr w:rsidR="001013CE" w:rsidRPr="001013CE" w:rsidTr="001013CE">
        <w:tc>
          <w:tcPr>
            <w:tcW w:w="4586" w:type="dxa"/>
          </w:tcPr>
          <w:p w:rsidR="001013CE" w:rsidRPr="001013CE" w:rsidRDefault="001013CE" w:rsidP="001013CE">
            <w:pPr>
              <w:jc w:val="center"/>
              <w:rPr>
                <w:b/>
                <w:color w:val="000000"/>
                <w:sz w:val="20"/>
                <w:szCs w:val="20"/>
                <w:lang w:val="en-GB" w:eastAsia="en-US"/>
              </w:rPr>
            </w:pPr>
            <w:r w:rsidRPr="001013CE">
              <w:rPr>
                <w:b/>
                <w:iCs/>
                <w:color w:val="000000"/>
                <w:sz w:val="20"/>
                <w:szCs w:val="20"/>
                <w:lang w:val="en-GB" w:eastAsia="en-US"/>
              </w:rPr>
              <w:t>Employment</w:t>
            </w:r>
            <w:r w:rsidRPr="001013CE">
              <w:rPr>
                <w:b/>
                <w:noProof/>
                <w:color w:val="000000"/>
                <w:sz w:val="20"/>
                <w:szCs w:val="20"/>
              </w:rPr>
              <w:drawing>
                <wp:inline distT="0" distB="0" distL="0" distR="0">
                  <wp:extent cx="2567940" cy="2232660"/>
                  <wp:effectExtent l="0" t="0" r="0" b="0"/>
                  <wp:docPr id="12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940" cy="2232660"/>
                          </a:xfrm>
                          <a:prstGeom prst="rect">
                            <a:avLst/>
                          </a:prstGeom>
                          <a:noFill/>
                          <a:ln>
                            <a:noFill/>
                          </a:ln>
                        </pic:spPr>
                      </pic:pic>
                    </a:graphicData>
                  </a:graphic>
                </wp:inline>
              </w:drawing>
            </w:r>
          </w:p>
        </w:tc>
        <w:tc>
          <w:tcPr>
            <w:tcW w:w="4139" w:type="dxa"/>
            <w:gridSpan w:val="2"/>
          </w:tcPr>
          <w:p w:rsidR="001013CE" w:rsidRPr="001013CE" w:rsidRDefault="001013CE" w:rsidP="001013CE">
            <w:pPr>
              <w:jc w:val="center"/>
              <w:rPr>
                <w:b/>
                <w:color w:val="000000"/>
                <w:sz w:val="20"/>
                <w:szCs w:val="20"/>
                <w:lang w:val="en-GB" w:eastAsia="en-US"/>
              </w:rPr>
            </w:pPr>
            <w:r w:rsidRPr="001013CE">
              <w:rPr>
                <w:b/>
                <w:iCs/>
                <w:color w:val="000000"/>
                <w:sz w:val="20"/>
                <w:szCs w:val="20"/>
                <w:lang w:val="en-GB" w:eastAsia="en-US"/>
              </w:rPr>
              <w:t>TFP index</w:t>
            </w:r>
            <w:r w:rsidRPr="001013CE">
              <w:rPr>
                <w:b/>
                <w:noProof/>
                <w:color w:val="000000"/>
                <w:sz w:val="20"/>
                <w:szCs w:val="20"/>
              </w:rPr>
              <w:drawing>
                <wp:inline distT="0" distB="0" distL="0" distR="0">
                  <wp:extent cx="2567940" cy="2232660"/>
                  <wp:effectExtent l="0" t="0" r="0" b="0"/>
                  <wp:docPr id="12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940" cy="2232660"/>
                          </a:xfrm>
                          <a:prstGeom prst="rect">
                            <a:avLst/>
                          </a:prstGeom>
                          <a:noFill/>
                          <a:ln>
                            <a:noFill/>
                          </a:ln>
                        </pic:spPr>
                      </pic:pic>
                    </a:graphicData>
                  </a:graphic>
                </wp:inline>
              </w:drawing>
            </w:r>
          </w:p>
        </w:tc>
      </w:tr>
      <w:tr w:rsidR="001013CE" w:rsidRPr="001013CE" w:rsidTr="001013CE">
        <w:tblPrEx>
          <w:tblCellMar>
            <w:left w:w="70" w:type="dxa"/>
            <w:right w:w="70" w:type="dxa"/>
          </w:tblCellMar>
          <w:tblLook w:val="0000" w:firstRow="0" w:lastRow="0" w:firstColumn="0" w:lastColumn="0" w:noHBand="0" w:noVBand="0"/>
        </w:tblPrEx>
        <w:trPr>
          <w:gridAfter w:val="1"/>
          <w:wAfter w:w="690" w:type="dxa"/>
          <w:trHeight w:val="100"/>
        </w:trPr>
        <w:tc>
          <w:tcPr>
            <w:tcW w:w="8035" w:type="dxa"/>
            <w:gridSpan w:val="2"/>
          </w:tcPr>
          <w:tbl>
            <w:tblPr>
              <w:tblStyle w:val="Tablaconcuadrcula"/>
              <w:tblW w:w="8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8498"/>
            </w:tblGrid>
            <w:tr w:rsidR="001013CE" w:rsidRPr="001013CE" w:rsidTr="0043562D">
              <w:trPr>
                <w:trHeight w:val="460"/>
              </w:trPr>
              <w:tc>
                <w:tcPr>
                  <w:tcW w:w="8498" w:type="dxa"/>
                </w:tcPr>
                <w:p w:rsidR="001013CE" w:rsidRPr="001013CE" w:rsidRDefault="001013CE" w:rsidP="001013CE">
                  <w:pPr>
                    <w:spacing w:line="240" w:lineRule="atLeast"/>
                    <w:jc w:val="center"/>
                    <w:rPr>
                      <w:i/>
                      <w:iCs/>
                      <w:color w:val="000000"/>
                      <w:sz w:val="20"/>
                      <w:szCs w:val="18"/>
                      <w:lang w:val="en-GB" w:eastAsia="en-US"/>
                    </w:rPr>
                  </w:pPr>
                  <w:r w:rsidRPr="001013CE">
                    <w:rPr>
                      <w:i/>
                      <w:iCs/>
                      <w:color w:val="000000"/>
                      <w:sz w:val="20"/>
                      <w:szCs w:val="18"/>
                      <w:lang w:val="en-GB" w:eastAsia="en-US"/>
                    </w:rPr>
                    <w:t xml:space="preserve">Note: </w:t>
                  </w:r>
                  <w:r w:rsidRPr="001013CE">
                    <w:rPr>
                      <w:iCs/>
                      <w:color w:val="000000"/>
                      <w:sz w:val="20"/>
                      <w:szCs w:val="18"/>
                      <w:lang w:val="en-GB" w:eastAsia="en-US"/>
                    </w:rPr>
                    <w:t>VA, K and labour are expressed in per capita terms</w:t>
                  </w:r>
                  <w:r w:rsidRPr="001013CE">
                    <w:rPr>
                      <w:i/>
                      <w:iCs/>
                      <w:color w:val="000000"/>
                      <w:sz w:val="20"/>
                      <w:szCs w:val="18"/>
                      <w:lang w:val="en-GB" w:eastAsia="en-US"/>
                    </w:rPr>
                    <w:t>.</w:t>
                  </w:r>
                </w:p>
                <w:p w:rsidR="001013CE" w:rsidRPr="001013CE" w:rsidRDefault="001013CE" w:rsidP="001013CE">
                  <w:pPr>
                    <w:keepNext/>
                    <w:jc w:val="center"/>
                    <w:rPr>
                      <w:sz w:val="18"/>
                      <w:szCs w:val="18"/>
                      <w:lang w:val="en-GB" w:eastAsia="en-US"/>
                    </w:rPr>
                  </w:pPr>
                  <w:r w:rsidRPr="001013CE">
                    <w:rPr>
                      <w:i/>
                      <w:sz w:val="20"/>
                      <w:szCs w:val="18"/>
                      <w:lang w:val="en-GB" w:eastAsia="en-US"/>
                    </w:rPr>
                    <w:t xml:space="preserve">Source: </w:t>
                  </w:r>
                  <w:r w:rsidRPr="001013CE">
                    <w:rPr>
                      <w:sz w:val="20"/>
                      <w:szCs w:val="18"/>
                      <w:lang w:val="en-GB" w:eastAsia="en-US"/>
                    </w:rPr>
                    <w:t>Based on data from the INE (2016).</w:t>
                  </w:r>
                </w:p>
                <w:p w:rsidR="001013CE" w:rsidRPr="001013CE" w:rsidRDefault="001013CE" w:rsidP="001013CE">
                  <w:pPr>
                    <w:spacing w:line="240" w:lineRule="atLeast"/>
                    <w:ind w:left="357"/>
                    <w:rPr>
                      <w:b/>
                      <w:iCs/>
                      <w:color w:val="000000"/>
                      <w:sz w:val="20"/>
                      <w:szCs w:val="20"/>
                      <w:lang w:val="en-GB" w:eastAsia="en-US"/>
                    </w:rPr>
                  </w:pPr>
                </w:p>
              </w:tc>
            </w:tr>
          </w:tbl>
          <w:p w:rsidR="001013CE" w:rsidRPr="001013CE" w:rsidRDefault="001013CE" w:rsidP="001013CE">
            <w:pPr>
              <w:rPr>
                <w:b/>
                <w:color w:val="000000"/>
                <w:sz w:val="20"/>
                <w:szCs w:val="20"/>
                <w:lang w:val="en-GB" w:eastAsia="en-US"/>
              </w:rPr>
            </w:pPr>
          </w:p>
        </w:tc>
      </w:tr>
    </w:tbl>
    <w:p w:rsidR="001013CE" w:rsidRPr="001013CE" w:rsidRDefault="001013CE" w:rsidP="001013CE">
      <w:pPr>
        <w:spacing w:before="120" w:after="120" w:line="360" w:lineRule="auto"/>
        <w:ind w:firstLine="357"/>
        <w:jc w:val="both"/>
        <w:rPr>
          <w:rFonts w:eastAsia="Calibri"/>
          <w:sz w:val="22"/>
          <w:lang w:val="en-GB" w:eastAsia="en-US"/>
        </w:rPr>
      </w:pPr>
      <w:r w:rsidRPr="001013CE">
        <w:rPr>
          <w:rFonts w:eastAsia="Calibri"/>
          <w:sz w:val="22"/>
          <w:szCs w:val="22"/>
          <w:lang w:val="en-GB" w:eastAsia="en-US"/>
        </w:rPr>
        <w:t>The graphical representation of the variables in the map serves as the first approach to the identification of spatial patterns in the data. Figure 1 displays the level in 2007</w:t>
      </w:r>
      <w:r w:rsidRPr="001013CE">
        <w:rPr>
          <w:rFonts w:eastAsia="Calibri"/>
          <w:sz w:val="22"/>
          <w:szCs w:val="22"/>
          <w:vertAlign w:val="superscript"/>
          <w:lang w:val="en-GB" w:eastAsia="en-US"/>
        </w:rPr>
        <w:footnoteReference w:id="12"/>
      </w:r>
      <w:r w:rsidRPr="001013CE">
        <w:rPr>
          <w:rFonts w:eastAsia="Calibri"/>
          <w:sz w:val="22"/>
          <w:szCs w:val="22"/>
          <w:lang w:val="en-GB" w:eastAsia="en-US"/>
        </w:rPr>
        <w:t xml:space="preserve"> of value added, capital, labour and the TFP index (eq. 3) across the map of the Spanish Provinces, respectively. The colour intensity increases with the value of the variable</w:t>
      </w:r>
      <w:r w:rsidRPr="001013CE">
        <w:rPr>
          <w:rFonts w:eastAsia="Calibri"/>
          <w:sz w:val="22"/>
          <w:szCs w:val="22"/>
          <w:vertAlign w:val="superscript"/>
          <w:lang w:val="en-GB" w:eastAsia="en-US"/>
        </w:rPr>
        <w:footnoteReference w:id="13"/>
      </w:r>
      <w:r w:rsidRPr="001013CE">
        <w:rPr>
          <w:rFonts w:eastAsia="Calibri"/>
          <w:sz w:val="22"/>
          <w:szCs w:val="22"/>
          <w:lang w:val="en-GB" w:eastAsia="en-US"/>
        </w:rPr>
        <w:t>. All the variables are expressed in per capita terms</w:t>
      </w:r>
      <w:r w:rsidRPr="001013CE">
        <w:rPr>
          <w:rFonts w:eastAsia="Calibri"/>
          <w:sz w:val="22"/>
          <w:szCs w:val="22"/>
          <w:vertAlign w:val="superscript"/>
          <w:lang w:val="en-GB" w:eastAsia="en-US"/>
        </w:rPr>
        <w:footnoteReference w:id="14"/>
      </w:r>
      <w:r w:rsidRPr="001013CE">
        <w:rPr>
          <w:rFonts w:eastAsia="Calibri"/>
          <w:sz w:val="22"/>
          <w:szCs w:val="22"/>
          <w:lang w:val="en-GB" w:eastAsia="en-US"/>
        </w:rPr>
        <w:t xml:space="preserve">. </w:t>
      </w:r>
      <w:r w:rsidRPr="001013CE">
        <w:rPr>
          <w:rFonts w:eastAsia="Calibri"/>
          <w:sz w:val="22"/>
          <w:lang w:val="en-GB" w:eastAsia="en-US"/>
        </w:rPr>
        <w:t xml:space="preserve">In terms of value added, the richest regions are those located in the area around </w:t>
      </w:r>
      <w:r w:rsidRPr="001013CE">
        <w:rPr>
          <w:rFonts w:eastAsia="Calibri"/>
          <w:sz w:val="22"/>
          <w:lang w:val="en-GB" w:eastAsia="en-US"/>
        </w:rPr>
        <w:lastRenderedPageBreak/>
        <w:t>the River Ebro</w:t>
      </w:r>
      <w:r w:rsidRPr="001013CE">
        <w:rPr>
          <w:rFonts w:eastAsia="Calibri"/>
          <w:sz w:val="22"/>
          <w:vertAlign w:val="superscript"/>
          <w:lang w:val="en-GB" w:eastAsia="en-US"/>
        </w:rPr>
        <w:footnoteReference w:id="15"/>
      </w:r>
      <w:r w:rsidRPr="001013CE">
        <w:rPr>
          <w:rFonts w:eastAsia="Calibri"/>
          <w:sz w:val="22"/>
          <w:lang w:val="en-GB" w:eastAsia="en-US"/>
        </w:rPr>
        <w:t xml:space="preserve"> (Northeast), Madrid (Centre), and Balearic Islands (East). The poorest regions are grouped in the Centre, South and West</w:t>
      </w:r>
      <w:r w:rsidRPr="001013CE">
        <w:rPr>
          <w:rFonts w:eastAsia="Calibri"/>
          <w:sz w:val="22"/>
          <w:vertAlign w:val="superscript"/>
          <w:lang w:val="en-GB" w:eastAsia="en-US"/>
        </w:rPr>
        <w:footnoteReference w:id="16"/>
      </w:r>
      <w:r w:rsidRPr="001013CE">
        <w:rPr>
          <w:rFonts w:eastAsia="Calibri"/>
          <w:sz w:val="22"/>
          <w:lang w:val="en-GB" w:eastAsia="en-US"/>
        </w:rPr>
        <w:t xml:space="preserve">. The distribution of productive capital is fairly similar but it appears somewhat more disperse around the centre but it is still concentrated in the Northern regions. The lowest levels of capital are mainly found in the South (Andalusia and Murcia). Employment, on the other hand, is distributed almost identically to value added, but even more concentrated in the East (Balearic Islands, Murcia and Valencian Community). Concerning the TFP index, similar values are slightly more disperse, but still some clusters are identifiable. The biggest groups are located in the North (Asturias, Basque Country, and Navarre) and Centre (Madrid, Toledo and their surrounding regions). </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lang w:val="en-GB" w:eastAsia="en-US"/>
        </w:rPr>
        <w:t xml:space="preserve">To conclude, the maps of the Provinces suggest that spatial dependence patterns among the variables are more noticeable when studied at the lowest level of aggregation. </w:t>
      </w:r>
      <w:r w:rsidRPr="001013CE">
        <w:rPr>
          <w:rFonts w:eastAsia="Calibri"/>
          <w:sz w:val="22"/>
          <w:szCs w:val="22"/>
          <w:lang w:val="en-GB" w:eastAsia="en-US"/>
        </w:rPr>
        <w:t xml:space="preserve">The Moran I test serves to check the intuition extracted from the maps above. The I statistic is defined in equation 8: </w:t>
      </w:r>
    </w:p>
    <w:p w:rsidR="001013CE" w:rsidRPr="001013CE" w:rsidRDefault="001013CE" w:rsidP="001013CE">
      <w:pPr>
        <w:spacing w:before="240" w:after="240" w:line="360" w:lineRule="auto"/>
        <w:jc w:val="center"/>
        <w:rPr>
          <w:rFonts w:eastAsia="Calibri"/>
          <w:iCs/>
          <w:color w:val="44546A"/>
          <w:sz w:val="18"/>
          <w:szCs w:val="18"/>
          <w:lang w:val="en-GB" w:eastAsia="en-US"/>
        </w:rPr>
      </w:pPr>
      <m:oMath>
        <m:r>
          <w:rPr>
            <w:rFonts w:ascii="Cambria Math" w:eastAsia="Calibri" w:hAnsi="Cambria Math"/>
            <w:color w:val="000000"/>
            <w:lang w:val="en-GB" w:eastAsia="en-US"/>
          </w:rPr>
          <m:t>I=</m:t>
        </m:r>
        <m:f>
          <m:fPr>
            <m:ctrlPr>
              <w:rPr>
                <w:rFonts w:ascii="Cambria Math" w:eastAsia="Calibri" w:hAnsi="Cambria Math"/>
                <w:iCs/>
                <w:color w:val="000000"/>
                <w:lang w:val="en-GB" w:eastAsia="en-US"/>
              </w:rPr>
            </m:ctrlPr>
          </m:fPr>
          <m:num>
            <m:r>
              <w:rPr>
                <w:rFonts w:ascii="Cambria Math" w:eastAsia="Calibri" w:hAnsi="Cambria Math"/>
                <w:color w:val="000000"/>
                <w:lang w:val="en-GB" w:eastAsia="en-US"/>
              </w:rPr>
              <m:t>N</m:t>
            </m:r>
          </m:num>
          <m:den>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Σ</m:t>
                </m:r>
              </m:e>
              <m:sub>
                <m:r>
                  <w:rPr>
                    <w:rFonts w:ascii="Cambria Math" w:eastAsia="Calibri" w:hAnsi="Cambria Math"/>
                    <w:color w:val="000000"/>
                    <w:lang w:val="en-GB" w:eastAsia="en-US"/>
                  </w:rPr>
                  <m:t>r</m:t>
                </m:r>
              </m:sub>
            </m:sSub>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Σ</m:t>
                </m:r>
              </m:e>
              <m:sub>
                <m:r>
                  <w:rPr>
                    <w:rFonts w:ascii="Cambria Math" w:eastAsia="Calibri" w:hAnsi="Cambria Math"/>
                    <w:color w:val="000000"/>
                    <w:lang w:val="en-GB" w:eastAsia="en-US"/>
                  </w:rPr>
                  <m:t>s</m:t>
                </m:r>
              </m:sub>
            </m:sSub>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w</m:t>
                </m:r>
              </m:e>
              <m:sub>
                <m:r>
                  <w:rPr>
                    <w:rFonts w:ascii="Cambria Math" w:eastAsia="Calibri" w:hAnsi="Cambria Math"/>
                    <w:color w:val="000000"/>
                    <w:lang w:val="en-GB" w:eastAsia="en-US"/>
                  </w:rPr>
                  <m:t>rs</m:t>
                </m:r>
              </m:sub>
            </m:sSub>
          </m:den>
        </m:f>
        <m:f>
          <m:fPr>
            <m:ctrlPr>
              <w:rPr>
                <w:rFonts w:ascii="Cambria Math" w:eastAsia="Calibri" w:hAnsi="Cambria Math"/>
                <w:iCs/>
                <w:color w:val="000000"/>
                <w:lang w:val="en-GB" w:eastAsia="en-US"/>
              </w:rPr>
            </m:ctrlPr>
          </m:fPr>
          <m:num>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Σ</m:t>
                </m:r>
              </m:e>
              <m:sub>
                <m:r>
                  <w:rPr>
                    <w:rFonts w:ascii="Cambria Math" w:eastAsia="Calibri" w:hAnsi="Cambria Math"/>
                    <w:color w:val="000000"/>
                    <w:lang w:val="en-GB" w:eastAsia="en-US"/>
                  </w:rPr>
                  <m:t>r</m:t>
                </m:r>
              </m:sub>
            </m:sSub>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Σ</m:t>
                </m:r>
              </m:e>
              <m:sub>
                <m:r>
                  <w:rPr>
                    <w:rFonts w:ascii="Cambria Math" w:eastAsia="Calibri" w:hAnsi="Cambria Math"/>
                    <w:color w:val="000000"/>
                    <w:lang w:val="en-GB" w:eastAsia="en-US"/>
                  </w:rPr>
                  <m:t>s</m:t>
                </m:r>
              </m:sub>
            </m:sSub>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w</m:t>
                </m:r>
              </m:e>
              <m:sub>
                <m:r>
                  <w:rPr>
                    <w:rFonts w:ascii="Cambria Math" w:eastAsia="Calibri" w:hAnsi="Cambria Math"/>
                    <w:color w:val="000000"/>
                    <w:lang w:val="en-GB" w:eastAsia="en-US"/>
                  </w:rPr>
                  <m:t>rs</m:t>
                </m:r>
              </m:sub>
            </m:sSub>
            <m:r>
              <w:rPr>
                <w:rFonts w:ascii="Cambria Math" w:eastAsia="Calibri" w:hAnsi="Cambria Math"/>
                <w:color w:val="000000"/>
                <w:lang w:val="en-GB" w:eastAsia="en-US"/>
              </w:rPr>
              <m:t>(</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z</m:t>
                </m:r>
              </m:e>
              <m:sub>
                <m:r>
                  <w:rPr>
                    <w:rFonts w:ascii="Cambria Math" w:eastAsia="Calibri" w:hAnsi="Cambria Math"/>
                    <w:color w:val="000000"/>
                    <w:lang w:val="en-GB" w:eastAsia="en-US"/>
                  </w:rPr>
                  <m:t>r</m:t>
                </m:r>
              </m:sub>
            </m:sSub>
            <m:r>
              <w:rPr>
                <w:rFonts w:ascii="Cambria Math" w:eastAsia="Calibri" w:hAnsi="Cambria Math"/>
                <w:color w:val="000000"/>
                <w:lang w:val="en-GB" w:eastAsia="en-US"/>
              </w:rPr>
              <m:t>-</m:t>
            </m:r>
            <m:bar>
              <m:barPr>
                <m:pos m:val="top"/>
                <m:ctrlPr>
                  <w:rPr>
                    <w:rFonts w:ascii="Cambria Math" w:eastAsia="Calibri" w:hAnsi="Cambria Math"/>
                    <w:iCs/>
                    <w:color w:val="000000"/>
                    <w:lang w:val="en-GB" w:eastAsia="en-US"/>
                  </w:rPr>
                </m:ctrlPr>
              </m:barPr>
              <m:e>
                <m:r>
                  <w:rPr>
                    <w:rFonts w:ascii="Cambria Math" w:eastAsia="Calibri" w:hAnsi="Cambria Math"/>
                    <w:color w:val="000000"/>
                    <w:lang w:val="en-GB" w:eastAsia="en-US"/>
                  </w:rPr>
                  <m:t>z</m:t>
                </m:r>
              </m:e>
            </m:bar>
            <m:r>
              <w:rPr>
                <w:rFonts w:ascii="Cambria Math" w:eastAsia="Calibri" w:hAnsi="Cambria Math"/>
                <w:color w:val="000000"/>
                <w:lang w:val="en-GB" w:eastAsia="en-US"/>
              </w:rPr>
              <m:t>)(</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z</m:t>
                </m:r>
              </m:e>
              <m:sub>
                <m:r>
                  <w:rPr>
                    <w:rFonts w:ascii="Cambria Math" w:eastAsia="Calibri" w:hAnsi="Cambria Math"/>
                    <w:color w:val="000000"/>
                    <w:lang w:val="en-GB" w:eastAsia="en-US"/>
                  </w:rPr>
                  <m:t>s</m:t>
                </m:r>
              </m:sub>
            </m:sSub>
            <m:r>
              <w:rPr>
                <w:rFonts w:ascii="Cambria Math" w:eastAsia="Calibri" w:hAnsi="Cambria Math"/>
                <w:color w:val="000000"/>
                <w:lang w:val="en-GB" w:eastAsia="en-US"/>
              </w:rPr>
              <m:t>-</m:t>
            </m:r>
            <m:bar>
              <m:barPr>
                <m:pos m:val="top"/>
                <m:ctrlPr>
                  <w:rPr>
                    <w:rFonts w:ascii="Cambria Math" w:eastAsia="Calibri" w:hAnsi="Cambria Math"/>
                    <w:iCs/>
                    <w:color w:val="000000"/>
                    <w:lang w:val="en-GB" w:eastAsia="en-US"/>
                  </w:rPr>
                </m:ctrlPr>
              </m:barPr>
              <m:e>
                <m:r>
                  <w:rPr>
                    <w:rFonts w:ascii="Cambria Math" w:eastAsia="Calibri" w:hAnsi="Cambria Math"/>
                    <w:color w:val="000000"/>
                    <w:lang w:val="en-GB" w:eastAsia="en-US"/>
                  </w:rPr>
                  <m:t>z</m:t>
                </m:r>
              </m:e>
            </m:bar>
            <m:r>
              <w:rPr>
                <w:rFonts w:ascii="Cambria Math" w:eastAsia="Calibri" w:hAnsi="Cambria Math"/>
                <w:color w:val="000000"/>
                <w:lang w:val="en-GB" w:eastAsia="en-US"/>
              </w:rPr>
              <m:t>)</m:t>
            </m:r>
          </m:num>
          <m:den>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Σ</m:t>
                </m:r>
              </m:e>
              <m:sub>
                <m:r>
                  <w:rPr>
                    <w:rFonts w:ascii="Cambria Math" w:eastAsia="Calibri" w:hAnsi="Cambria Math"/>
                    <w:color w:val="000000"/>
                    <w:lang w:val="en-GB" w:eastAsia="en-US"/>
                  </w:rPr>
                  <m:t>r</m:t>
                </m:r>
              </m:sub>
            </m:sSub>
            <m:sSup>
              <m:sSupPr>
                <m:ctrlPr>
                  <w:rPr>
                    <w:rFonts w:ascii="Cambria Math" w:eastAsia="Calibri" w:hAnsi="Cambria Math"/>
                    <w:iCs/>
                    <w:color w:val="000000"/>
                    <w:lang w:val="en-GB" w:eastAsia="en-US"/>
                  </w:rPr>
                </m:ctrlPr>
              </m:sSupPr>
              <m:e>
                <m:r>
                  <w:rPr>
                    <w:rFonts w:ascii="Cambria Math" w:eastAsia="Calibri" w:hAnsi="Cambria Math"/>
                    <w:color w:val="000000"/>
                    <w:lang w:val="en-GB" w:eastAsia="en-US"/>
                  </w:rPr>
                  <m:t>(</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z</m:t>
                    </m:r>
                  </m:e>
                  <m:sub>
                    <m:r>
                      <w:rPr>
                        <w:rFonts w:ascii="Cambria Math" w:eastAsia="Calibri" w:hAnsi="Cambria Math"/>
                        <w:color w:val="000000"/>
                        <w:lang w:val="en-GB" w:eastAsia="en-US"/>
                      </w:rPr>
                      <m:t>r</m:t>
                    </m:r>
                  </m:sub>
                </m:sSub>
                <m:r>
                  <w:rPr>
                    <w:rFonts w:ascii="Cambria Math" w:eastAsia="Calibri" w:hAnsi="Cambria Math"/>
                    <w:color w:val="000000"/>
                    <w:lang w:val="en-GB" w:eastAsia="en-US"/>
                  </w:rPr>
                  <m:t>-</m:t>
                </m:r>
                <m:bar>
                  <m:barPr>
                    <m:pos m:val="top"/>
                    <m:ctrlPr>
                      <w:rPr>
                        <w:rFonts w:ascii="Cambria Math" w:eastAsia="Calibri" w:hAnsi="Cambria Math"/>
                        <w:iCs/>
                        <w:color w:val="000000"/>
                        <w:lang w:val="en-GB" w:eastAsia="en-US"/>
                      </w:rPr>
                    </m:ctrlPr>
                  </m:barPr>
                  <m:e>
                    <m:r>
                      <w:rPr>
                        <w:rFonts w:ascii="Cambria Math" w:eastAsia="Calibri" w:hAnsi="Cambria Math"/>
                        <w:color w:val="000000"/>
                        <w:lang w:val="en-GB" w:eastAsia="en-US"/>
                      </w:rPr>
                      <m:t>z</m:t>
                    </m:r>
                  </m:e>
                </m:bar>
                <m:r>
                  <w:rPr>
                    <w:rFonts w:ascii="Cambria Math" w:eastAsia="Calibri" w:hAnsi="Cambria Math"/>
                    <w:color w:val="000000"/>
                    <w:lang w:val="en-GB" w:eastAsia="en-US"/>
                  </w:rPr>
                  <m:t>)</m:t>
                </m:r>
              </m:e>
              <m:sup>
                <m:r>
                  <w:rPr>
                    <w:rFonts w:ascii="Cambria Math" w:eastAsia="Calibri" w:hAnsi="Cambria Math"/>
                    <w:color w:val="000000"/>
                    <w:lang w:val="en-GB" w:eastAsia="en-US"/>
                  </w:rPr>
                  <m:t>2</m:t>
                </m:r>
              </m:sup>
            </m:sSup>
          </m:den>
        </m:f>
      </m:oMath>
      <w:r w:rsidRPr="001013CE">
        <w:rPr>
          <w:i/>
          <w:iCs/>
          <w:color w:val="44546A"/>
          <w:sz w:val="18"/>
          <w:szCs w:val="18"/>
          <w:lang w:val="en-GB" w:eastAsia="en-US"/>
        </w:rPr>
        <w:tab/>
        <w:t xml:space="preserve"> </w:t>
      </w:r>
      <w:r w:rsidRPr="001013CE">
        <w:rPr>
          <w:i/>
          <w:iCs/>
          <w:color w:val="44546A"/>
          <w:sz w:val="18"/>
          <w:szCs w:val="18"/>
          <w:lang w:val="en-GB" w:eastAsia="en-US"/>
        </w:rPr>
        <w:tab/>
      </w:r>
      <w:r w:rsidRPr="001013CE">
        <w:rPr>
          <w:i/>
          <w:iCs/>
          <w:color w:val="44546A"/>
          <w:sz w:val="18"/>
          <w:szCs w:val="18"/>
          <w:lang w:val="en-GB" w:eastAsia="en-US"/>
        </w:rPr>
        <w:tab/>
      </w:r>
      <w:r w:rsidRPr="001013CE">
        <w:rPr>
          <w:i/>
          <w:iCs/>
          <w:color w:val="44546A"/>
          <w:sz w:val="18"/>
          <w:szCs w:val="18"/>
          <w:lang w:val="en-GB" w:eastAsia="en-US"/>
        </w:rPr>
        <w:tab/>
      </w:r>
      <w:r w:rsidRPr="001013CE">
        <w:rPr>
          <w:i/>
          <w:iCs/>
          <w:color w:val="000000"/>
          <w:lang w:val="en-GB" w:eastAsia="en-US"/>
        </w:rPr>
        <w:t xml:space="preserve">        </w:t>
      </w:r>
      <w:r w:rsidRPr="001013CE">
        <w:rPr>
          <w:rFonts w:eastAsia="Calibri"/>
          <w:iCs/>
          <w:color w:val="000000"/>
          <w:lang w:val="en-GB" w:eastAsia="en-US"/>
        </w:rPr>
        <w:t xml:space="preserve">( </w:t>
      </w:r>
      <w:r w:rsidRPr="001013CE">
        <w:rPr>
          <w:rFonts w:eastAsia="Calibri"/>
          <w:iCs/>
          <w:color w:val="000000"/>
          <w:lang w:val="en-GB" w:eastAsia="en-US"/>
        </w:rPr>
        <w:fldChar w:fldCharType="begin"/>
      </w:r>
      <w:r w:rsidRPr="001013CE">
        <w:rPr>
          <w:rFonts w:eastAsia="Calibri"/>
          <w:iCs/>
          <w:color w:val="000000"/>
          <w:lang w:val="en-GB" w:eastAsia="en-US"/>
        </w:rPr>
        <w:instrText xml:space="preserve"> SEQ ( \* ARABIC </w:instrText>
      </w:r>
      <w:r w:rsidRPr="001013CE">
        <w:rPr>
          <w:rFonts w:eastAsia="Calibri"/>
          <w:iCs/>
          <w:color w:val="000000"/>
          <w:lang w:val="en-GB" w:eastAsia="en-US"/>
        </w:rPr>
        <w:fldChar w:fldCharType="separate"/>
      </w:r>
      <w:r w:rsidRPr="001013CE">
        <w:rPr>
          <w:rFonts w:eastAsia="Calibri"/>
          <w:iCs/>
          <w:noProof/>
          <w:color w:val="000000"/>
          <w:lang w:val="en-GB" w:eastAsia="en-US"/>
        </w:rPr>
        <w:t>8</w:t>
      </w:r>
      <w:r w:rsidRPr="001013CE">
        <w:rPr>
          <w:rFonts w:eastAsia="Calibri"/>
          <w:iCs/>
          <w:color w:val="000000"/>
          <w:lang w:val="en-GB" w:eastAsia="en-US"/>
        </w:rPr>
        <w:fldChar w:fldCharType="end"/>
      </w:r>
      <w:r w:rsidRPr="001013CE">
        <w:rPr>
          <w:rFonts w:eastAsia="Calibri"/>
          <w:iCs/>
          <w:color w:val="000000"/>
          <w:lang w:val="en-GB" w:eastAsia="en-US"/>
        </w:rPr>
        <w:t xml:space="preserve"> )</w:t>
      </w:r>
    </w:p>
    <w:p w:rsidR="001013CE" w:rsidRPr="001013CE" w:rsidRDefault="001013CE" w:rsidP="001013CE">
      <w:pPr>
        <w:spacing w:before="120" w:after="120" w:line="360" w:lineRule="auto"/>
        <w:ind w:firstLine="708"/>
        <w:jc w:val="both"/>
        <w:rPr>
          <w:rFonts w:eastAsia="Calibri"/>
          <w:sz w:val="22"/>
          <w:szCs w:val="22"/>
          <w:lang w:val="en-GB" w:eastAsia="en-US"/>
        </w:rPr>
      </w:pPr>
      <w:r w:rsidRPr="001013CE">
        <w:rPr>
          <w:rFonts w:eastAsia="Calibri"/>
          <w:sz w:val="22"/>
          <w:szCs w:val="22"/>
          <w:lang w:val="en-GB" w:eastAsia="en-US"/>
        </w:rPr>
        <w:t xml:space="preserve">Where </w:t>
      </w:r>
      <m:oMath>
        <m:r>
          <w:rPr>
            <w:rFonts w:ascii="Cambria Math" w:eastAsia="Calibri" w:hAnsi="Cambria Math"/>
            <w:sz w:val="22"/>
            <w:szCs w:val="22"/>
            <w:lang w:val="en-GB" w:eastAsia="en-US"/>
          </w:rPr>
          <m:t>N</m:t>
        </m:r>
      </m:oMath>
      <w:r w:rsidRPr="001013CE">
        <w:rPr>
          <w:rFonts w:eastAsia="Calibri"/>
          <w:sz w:val="22"/>
          <w:szCs w:val="22"/>
          <w:lang w:val="en-GB" w:eastAsia="en-US"/>
        </w:rPr>
        <w:t xml:space="preserve"> is the number of observations, </w:t>
      </w:r>
      <m:oMath>
        <m:r>
          <w:rPr>
            <w:rFonts w:ascii="Cambria Math" w:eastAsia="Calibri" w:hAnsi="Cambria Math"/>
            <w:sz w:val="22"/>
            <w:szCs w:val="22"/>
            <w:lang w:val="en-GB" w:eastAsia="en-US"/>
          </w:rPr>
          <m:t>z</m:t>
        </m:r>
      </m:oMath>
      <w:r w:rsidRPr="001013CE">
        <w:rPr>
          <w:rFonts w:eastAsia="Calibri"/>
          <w:sz w:val="22"/>
          <w:szCs w:val="22"/>
          <w:lang w:val="en-GB" w:eastAsia="en-US"/>
        </w:rPr>
        <w:t xml:space="preserve"> is the variable of interest, </w:t>
      </w:r>
      <m:oMath>
        <m:bar>
          <m:barPr>
            <m:pos m:val="top"/>
            <m:ctrlPr>
              <w:rPr>
                <w:rFonts w:ascii="Cambria Math" w:eastAsia="Calibri" w:hAnsi="Cambria Math"/>
                <w:i/>
                <w:sz w:val="22"/>
                <w:szCs w:val="22"/>
                <w:lang w:val="en-GB" w:eastAsia="en-US"/>
              </w:rPr>
            </m:ctrlPr>
          </m:barPr>
          <m:e>
            <m:r>
              <w:rPr>
                <w:rFonts w:ascii="Cambria Math" w:eastAsia="Calibri" w:hAnsi="Cambria Math"/>
                <w:sz w:val="22"/>
                <w:szCs w:val="22"/>
                <w:lang w:val="en-GB" w:eastAsia="en-US"/>
              </w:rPr>
              <m:t>z</m:t>
            </m:r>
          </m:e>
        </m:bar>
      </m:oMath>
      <w:r w:rsidRPr="001013CE">
        <w:rPr>
          <w:sz w:val="22"/>
          <w:szCs w:val="22"/>
          <w:lang w:val="en-GB" w:eastAsia="en-US"/>
        </w:rPr>
        <w:t xml:space="preserve"> </w:t>
      </w:r>
      <w:r w:rsidRPr="001013CE">
        <w:rPr>
          <w:rFonts w:eastAsia="Calibri"/>
          <w:sz w:val="22"/>
          <w:szCs w:val="22"/>
          <w:lang w:val="en-GB" w:eastAsia="en-US"/>
        </w:rPr>
        <w:t xml:space="preserve">is its average and,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w</m:t>
            </m:r>
          </m:e>
          <m:sub>
            <m:r>
              <w:rPr>
                <w:rFonts w:ascii="Cambria Math" w:eastAsia="Calibri" w:hAnsi="Cambria Math"/>
                <w:sz w:val="22"/>
                <w:szCs w:val="22"/>
                <w:lang w:val="en-GB" w:eastAsia="en-US"/>
              </w:rPr>
              <m:t>rs</m:t>
            </m:r>
          </m:sub>
        </m:sSub>
      </m:oMath>
      <w:r w:rsidRPr="001013CE">
        <w:rPr>
          <w:rFonts w:eastAsia="Calibri"/>
          <w:sz w:val="22"/>
          <w:szCs w:val="22"/>
          <w:lang w:val="en-GB" w:eastAsia="en-US"/>
        </w:rPr>
        <w:t xml:space="preserve"> is the element of the weights matrix W. The latest reflects the distance between region </w:t>
      </w:r>
      <m:oMath>
        <m:r>
          <w:rPr>
            <w:rFonts w:ascii="Cambria Math" w:eastAsia="Calibri" w:hAnsi="Cambria Math"/>
            <w:sz w:val="22"/>
            <w:szCs w:val="22"/>
            <w:lang w:val="en-GB" w:eastAsia="en-US"/>
          </w:rPr>
          <m:t>r</m:t>
        </m:r>
      </m:oMath>
      <w:r w:rsidRPr="001013CE">
        <w:rPr>
          <w:rFonts w:eastAsia="Calibri"/>
          <w:sz w:val="22"/>
          <w:szCs w:val="22"/>
          <w:lang w:val="en-GB" w:eastAsia="en-US"/>
        </w:rPr>
        <w:t xml:space="preserve"> and </w:t>
      </w:r>
      <m:oMath>
        <m:r>
          <w:rPr>
            <w:rFonts w:ascii="Cambria Math" w:eastAsia="Calibri" w:hAnsi="Cambria Math"/>
            <w:sz w:val="22"/>
            <w:szCs w:val="22"/>
            <w:lang w:val="en-GB" w:eastAsia="en-US"/>
          </w:rPr>
          <m:t>s</m:t>
        </m:r>
      </m:oMath>
      <w:r w:rsidRPr="001013CE">
        <w:rPr>
          <w:rFonts w:eastAsia="Calibri"/>
          <w:sz w:val="22"/>
          <w:szCs w:val="22"/>
          <w:lang w:val="en-GB" w:eastAsia="en-US"/>
        </w:rPr>
        <w:t xml:space="preserve">. The elements in the diagonal take value 0 since </w:t>
      </w:r>
      <m:oMath>
        <m:r>
          <w:rPr>
            <w:rFonts w:ascii="Cambria Math" w:eastAsia="Calibri" w:hAnsi="Cambria Math"/>
            <w:sz w:val="22"/>
            <w:szCs w:val="22"/>
            <w:lang w:val="en-GB" w:eastAsia="en-US"/>
          </w:rPr>
          <m:t>i=j</m:t>
        </m:r>
      </m:oMath>
      <w:r w:rsidRPr="001013CE">
        <w:rPr>
          <w:rFonts w:eastAsia="Calibri"/>
          <w:sz w:val="22"/>
          <w:szCs w:val="22"/>
          <w:lang w:val="en-GB" w:eastAsia="en-US"/>
        </w:rPr>
        <w:t xml:space="preserve">. As it is explained in section 3, the weights matrix is row-normalized and consists of the squared inverse distances. The expected value of the statistic is equal to </w:t>
      </w:r>
      <m:oMath>
        <m:r>
          <w:rPr>
            <w:rFonts w:ascii="Cambria Math" w:eastAsia="Calibri" w:hAnsi="Cambria Math"/>
            <w:sz w:val="22"/>
            <w:szCs w:val="22"/>
            <w:lang w:val="en-GB" w:eastAsia="en-US"/>
          </w:rPr>
          <m:t>E</m:t>
        </m:r>
        <m:d>
          <m:dPr>
            <m:ctrlPr>
              <w:rPr>
                <w:rFonts w:ascii="Cambria Math" w:eastAsia="Calibri" w:hAnsi="Cambria Math"/>
                <w:i/>
                <w:sz w:val="22"/>
                <w:szCs w:val="22"/>
                <w:lang w:val="en-GB" w:eastAsia="en-US"/>
              </w:rPr>
            </m:ctrlPr>
          </m:dPr>
          <m:e>
            <m:r>
              <w:rPr>
                <w:rFonts w:ascii="Cambria Math" w:eastAsia="Calibri" w:hAnsi="Cambria Math"/>
                <w:sz w:val="22"/>
                <w:szCs w:val="22"/>
                <w:lang w:val="en-GB" w:eastAsia="en-US"/>
              </w:rPr>
              <m:t>I</m:t>
            </m:r>
          </m:e>
        </m:d>
        <m:r>
          <w:rPr>
            <w:rFonts w:ascii="Cambria Math" w:eastAsia="Calibri" w:hAnsi="Cambria Math"/>
            <w:sz w:val="22"/>
            <w:szCs w:val="22"/>
            <w:lang w:val="en-GB" w:eastAsia="en-US"/>
          </w:rPr>
          <m:t>=</m:t>
        </m:r>
        <m:f>
          <m:fPr>
            <m:ctrlPr>
              <w:rPr>
                <w:rFonts w:ascii="Cambria Math" w:eastAsia="Calibri" w:hAnsi="Cambria Math"/>
                <w:i/>
                <w:sz w:val="22"/>
                <w:szCs w:val="22"/>
                <w:lang w:val="en-GB" w:eastAsia="en-US"/>
              </w:rPr>
            </m:ctrlPr>
          </m:fPr>
          <m:num>
            <m:r>
              <w:rPr>
                <w:rFonts w:ascii="Cambria Math" w:eastAsia="Calibri" w:hAnsi="Cambria Math"/>
                <w:sz w:val="22"/>
                <w:szCs w:val="22"/>
                <w:lang w:val="en-GB" w:eastAsia="en-US"/>
              </w:rPr>
              <m:t>-1</m:t>
            </m:r>
          </m:num>
          <m:den>
            <m:r>
              <w:rPr>
                <w:rFonts w:ascii="Cambria Math" w:eastAsia="Calibri" w:hAnsi="Cambria Math"/>
                <w:sz w:val="22"/>
                <w:szCs w:val="22"/>
                <w:lang w:val="en-GB" w:eastAsia="en-US"/>
              </w:rPr>
              <m:t>N-1</m:t>
            </m:r>
          </m:den>
        </m:f>
      </m:oMath>
      <w:r w:rsidRPr="001013CE">
        <w:rPr>
          <w:sz w:val="22"/>
          <w:szCs w:val="22"/>
          <w:lang w:val="en-GB" w:eastAsia="en-US"/>
        </w:rPr>
        <w:t xml:space="preserve">. </w:t>
      </w:r>
      <w:r w:rsidRPr="001013CE">
        <w:rPr>
          <w:rFonts w:eastAsia="Calibri"/>
          <w:sz w:val="22"/>
          <w:szCs w:val="22"/>
          <w:lang w:val="en-GB" w:eastAsia="en-US"/>
        </w:rPr>
        <w:t xml:space="preserve">In the case that </w:t>
      </w:r>
      <m:oMath>
        <m:r>
          <w:rPr>
            <w:rFonts w:ascii="Cambria Math" w:eastAsia="Calibri" w:hAnsi="Cambria Math"/>
            <w:sz w:val="22"/>
            <w:szCs w:val="22"/>
            <w:lang w:val="en-GB" w:eastAsia="en-US"/>
          </w:rPr>
          <m:t>I&gt;E(I)</m:t>
        </m:r>
      </m:oMath>
      <w:r w:rsidRPr="001013CE">
        <w:rPr>
          <w:sz w:val="22"/>
          <w:szCs w:val="22"/>
          <w:lang w:val="en-GB" w:eastAsia="en-US"/>
        </w:rPr>
        <w:t>, then</w:t>
      </w:r>
      <w:r w:rsidRPr="001013CE">
        <w:rPr>
          <w:rFonts w:eastAsia="Calibri"/>
          <w:sz w:val="22"/>
          <w:szCs w:val="22"/>
          <w:lang w:val="en-GB" w:eastAsia="en-US"/>
        </w:rPr>
        <w:t xml:space="preserve"> there exists positive spatial autocorrelation. When </w:t>
      </w:r>
      <m:oMath>
        <m:r>
          <w:rPr>
            <w:rFonts w:ascii="Cambria Math" w:eastAsia="Calibri" w:hAnsi="Cambria Math"/>
            <w:sz w:val="22"/>
            <w:szCs w:val="22"/>
            <w:lang w:val="en-GB" w:eastAsia="en-US"/>
          </w:rPr>
          <m:t>I&lt;E(I)</m:t>
        </m:r>
      </m:oMath>
      <w:r w:rsidRPr="001013CE">
        <w:rPr>
          <w:sz w:val="22"/>
          <w:szCs w:val="22"/>
          <w:lang w:val="en-GB" w:eastAsia="en-US"/>
        </w:rPr>
        <w:t>, the</w:t>
      </w:r>
      <w:r w:rsidRPr="001013CE">
        <w:rPr>
          <w:rFonts w:eastAsia="Calibri"/>
          <w:sz w:val="22"/>
          <w:szCs w:val="22"/>
          <w:lang w:val="en-GB" w:eastAsia="en-US"/>
        </w:rPr>
        <w:t xml:space="preserve"> spatial autocorrelation is negative (Griffith, 2009). Since the test is designed to study purely spatial autocorrelation, the results can be applied to every period. Thus, the reported I statistics is simply the average of all periods. </w:t>
      </w:r>
    </w:p>
    <w:p w:rsidR="001013CE" w:rsidRPr="001013CE" w:rsidRDefault="001013CE" w:rsidP="001013CE">
      <w:pPr>
        <w:spacing w:before="120" w:after="120" w:line="360" w:lineRule="auto"/>
        <w:ind w:firstLine="708"/>
        <w:jc w:val="both"/>
        <w:rPr>
          <w:rFonts w:eastAsia="Calibri"/>
          <w:sz w:val="22"/>
          <w:szCs w:val="22"/>
          <w:lang w:val="en-GB" w:eastAsia="en-US"/>
        </w:rPr>
      </w:pPr>
      <w:r w:rsidRPr="001013CE">
        <w:rPr>
          <w:rFonts w:eastAsia="Calibri"/>
          <w:sz w:val="22"/>
          <w:szCs w:val="22"/>
          <w:lang w:val="en-GB" w:eastAsia="en-US"/>
        </w:rPr>
        <w:t>Table 1 below exhibits the Moran I test results. In the case of Provinces the spatial autocorrelation is statistically strong. The I statistics locate between 0.4 and 0.5, and all of them are significant at 1% level. Regarding the TFP, the spatial autocorrelation is positive. Although the Moran I test (</w:t>
      </w:r>
      <w:r w:rsidRPr="001013CE">
        <w:rPr>
          <w:rFonts w:eastAsia="Calibri"/>
          <w:i/>
          <w:sz w:val="22"/>
          <w:szCs w:val="22"/>
          <w:lang w:val="en-GB" w:eastAsia="en-US"/>
        </w:rPr>
        <w:t>p</w:t>
      </w:r>
      <w:r w:rsidRPr="001013CE">
        <w:rPr>
          <w:rFonts w:eastAsia="Calibri"/>
          <w:sz w:val="22"/>
          <w:szCs w:val="22"/>
          <w:lang w:val="en-GB" w:eastAsia="en-US"/>
        </w:rPr>
        <w:t xml:space="preserve"> value= 0.315) fails to reject the null of no spatial autocorrelation, all the index components are spatially autocorrelated, which might cause the formation of clusters observed in the maps above. </w:t>
      </w:r>
    </w:p>
    <w:p w:rsidR="001013CE" w:rsidRPr="001013CE" w:rsidRDefault="001013CE" w:rsidP="001013CE">
      <w:pPr>
        <w:keepNext/>
        <w:spacing w:after="200"/>
        <w:jc w:val="center"/>
        <w:rPr>
          <w:rFonts w:eastAsia="Calibri"/>
          <w:b/>
          <w:iCs/>
          <w:color w:val="000000"/>
          <w:sz w:val="20"/>
          <w:szCs w:val="20"/>
          <w:lang w:val="en-GB" w:eastAsia="en-US"/>
        </w:rPr>
      </w:pPr>
      <w:bookmarkStart w:id="10" w:name="_Toc448256206"/>
      <w:r w:rsidRPr="001013CE">
        <w:rPr>
          <w:rFonts w:eastAsia="Calibri"/>
          <w:b/>
          <w:iCs/>
          <w:color w:val="000000"/>
          <w:sz w:val="20"/>
          <w:szCs w:val="20"/>
          <w:lang w:val="en-GB" w:eastAsia="en-US"/>
        </w:rPr>
        <w:t xml:space="preserve">Table  </w:t>
      </w:r>
      <w:r w:rsidRPr="001013CE">
        <w:rPr>
          <w:rFonts w:eastAsia="Calibri"/>
          <w:b/>
          <w:iCs/>
          <w:color w:val="000000"/>
          <w:sz w:val="20"/>
          <w:szCs w:val="20"/>
          <w:lang w:val="en-GB" w:eastAsia="en-US"/>
        </w:rPr>
        <w:fldChar w:fldCharType="begin"/>
      </w:r>
      <w:r w:rsidRPr="001013CE">
        <w:rPr>
          <w:rFonts w:eastAsia="Calibri"/>
          <w:b/>
          <w:iCs/>
          <w:color w:val="000000"/>
          <w:sz w:val="20"/>
          <w:szCs w:val="20"/>
          <w:lang w:val="en-GB" w:eastAsia="en-US"/>
        </w:rPr>
        <w:instrText xml:space="preserve"> SEQ Table_ \* ARABIC </w:instrText>
      </w:r>
      <w:r w:rsidRPr="001013CE">
        <w:rPr>
          <w:rFonts w:eastAsia="Calibri"/>
          <w:b/>
          <w:iCs/>
          <w:color w:val="000000"/>
          <w:sz w:val="20"/>
          <w:szCs w:val="20"/>
          <w:lang w:val="en-GB" w:eastAsia="en-US"/>
        </w:rPr>
        <w:fldChar w:fldCharType="separate"/>
      </w:r>
      <w:r w:rsidRPr="001013CE">
        <w:rPr>
          <w:rFonts w:eastAsia="Calibri"/>
          <w:b/>
          <w:iCs/>
          <w:noProof/>
          <w:color w:val="000000"/>
          <w:sz w:val="20"/>
          <w:szCs w:val="20"/>
          <w:lang w:val="en-GB" w:eastAsia="en-US"/>
        </w:rPr>
        <w:t>1</w:t>
      </w:r>
      <w:r w:rsidRPr="001013CE">
        <w:rPr>
          <w:rFonts w:eastAsia="Calibri"/>
          <w:b/>
          <w:iCs/>
          <w:color w:val="000000"/>
          <w:sz w:val="20"/>
          <w:szCs w:val="20"/>
          <w:lang w:val="en-GB" w:eastAsia="en-US"/>
        </w:rPr>
        <w:fldChar w:fldCharType="end"/>
      </w:r>
      <w:r w:rsidRPr="001013CE">
        <w:rPr>
          <w:rFonts w:eastAsia="Calibri"/>
          <w:b/>
          <w:iCs/>
          <w:color w:val="000000"/>
          <w:sz w:val="20"/>
          <w:szCs w:val="20"/>
          <w:lang w:val="en-GB" w:eastAsia="en-US"/>
        </w:rPr>
        <w:t>. Moran I test: value added, capital, labour and TFP.</w:t>
      </w:r>
      <w:bookmarkEnd w:id="10"/>
    </w:p>
    <w:tbl>
      <w:tblPr>
        <w:tblW w:w="5000" w:type="pct"/>
        <w:jc w:val="center"/>
        <w:tblCellMar>
          <w:left w:w="70" w:type="dxa"/>
          <w:right w:w="70" w:type="dxa"/>
        </w:tblCellMar>
        <w:tblLook w:val="04A0" w:firstRow="1" w:lastRow="0" w:firstColumn="1" w:lastColumn="0" w:noHBand="0" w:noVBand="1"/>
      </w:tblPr>
      <w:tblGrid>
        <w:gridCol w:w="2316"/>
        <w:gridCol w:w="881"/>
        <w:gridCol w:w="936"/>
        <w:gridCol w:w="663"/>
        <w:gridCol w:w="933"/>
        <w:gridCol w:w="1331"/>
        <w:gridCol w:w="723"/>
        <w:gridCol w:w="721"/>
      </w:tblGrid>
      <w:tr w:rsidR="001013CE" w:rsidRPr="001013CE" w:rsidTr="0043562D">
        <w:trPr>
          <w:trHeight w:val="163"/>
          <w:jc w:val="center"/>
        </w:trPr>
        <w:tc>
          <w:tcPr>
            <w:tcW w:w="1191"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rPr>
                <w:b/>
                <w:bCs/>
                <w:color w:val="000000"/>
                <w:sz w:val="20"/>
                <w:szCs w:val="20"/>
                <w:lang w:val="en-GB" w:eastAsia="en-US"/>
              </w:rPr>
            </w:pPr>
            <w:r w:rsidRPr="001013CE">
              <w:rPr>
                <w:b/>
                <w:bCs/>
                <w:color w:val="000000"/>
                <w:sz w:val="20"/>
                <w:szCs w:val="20"/>
                <w:lang w:val="en-GB" w:eastAsia="en-US"/>
              </w:rPr>
              <w:t> </w:t>
            </w:r>
          </w:p>
        </w:tc>
        <w:tc>
          <w:tcPr>
            <w:tcW w:w="453"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I</w:t>
            </w:r>
          </w:p>
        </w:tc>
        <w:tc>
          <w:tcPr>
            <w:tcW w:w="481"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E(I)</w:t>
            </w:r>
          </w:p>
        </w:tc>
        <w:tc>
          <w:tcPr>
            <w:tcW w:w="341"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SD(I)</w:t>
            </w:r>
          </w:p>
        </w:tc>
        <w:tc>
          <w:tcPr>
            <w:tcW w:w="480"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z score</w:t>
            </w:r>
          </w:p>
        </w:tc>
        <w:tc>
          <w:tcPr>
            <w:tcW w:w="685"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p-value</w:t>
            </w:r>
          </w:p>
        </w:tc>
        <w:tc>
          <w:tcPr>
            <w:tcW w:w="685" w:type="pct"/>
            <w:tcBorders>
              <w:top w:val="single" w:sz="4" w:space="0" w:color="auto"/>
              <w:left w:val="nil"/>
              <w:bottom w:val="single" w:sz="4" w:space="0" w:color="auto"/>
              <w:right w:val="nil"/>
            </w:tcBorders>
            <w:vAlign w:val="bottom"/>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CD</w:t>
            </w:r>
          </w:p>
        </w:tc>
        <w:tc>
          <w:tcPr>
            <w:tcW w:w="685" w:type="pct"/>
            <w:tcBorders>
              <w:top w:val="single" w:sz="4" w:space="0" w:color="auto"/>
              <w:bottom w:val="single" w:sz="4" w:space="0" w:color="auto"/>
            </w:tcBorders>
            <w:vAlign w:val="bottom"/>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p-value</w:t>
            </w:r>
          </w:p>
        </w:tc>
      </w:tr>
      <w:tr w:rsidR="001013CE" w:rsidRPr="001013CE" w:rsidTr="0043562D">
        <w:trPr>
          <w:trHeight w:val="297"/>
          <w:jc w:val="center"/>
        </w:trPr>
        <w:tc>
          <w:tcPr>
            <w:tcW w:w="1191"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rPr>
                <w:i/>
                <w:color w:val="000000"/>
                <w:sz w:val="20"/>
                <w:szCs w:val="20"/>
                <w:lang w:val="en-GB" w:eastAsia="en-US"/>
              </w:rPr>
            </w:pPr>
            <w:r w:rsidRPr="001013CE">
              <w:rPr>
                <w:i/>
                <w:color w:val="000000"/>
                <w:sz w:val="20"/>
                <w:szCs w:val="20"/>
                <w:lang w:val="en-GB" w:eastAsia="en-US"/>
              </w:rPr>
              <w:t>Value added</w:t>
            </w:r>
          </w:p>
        </w:tc>
        <w:tc>
          <w:tcPr>
            <w:tcW w:w="453"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0.49929</w:t>
            </w:r>
          </w:p>
        </w:tc>
        <w:tc>
          <w:tcPr>
            <w:tcW w:w="481"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-0.02</w:t>
            </w:r>
          </w:p>
        </w:tc>
        <w:tc>
          <w:tcPr>
            <w:tcW w:w="341"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0.059</w:t>
            </w:r>
          </w:p>
        </w:tc>
        <w:tc>
          <w:tcPr>
            <w:tcW w:w="480"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8.80145</w:t>
            </w:r>
          </w:p>
        </w:tc>
        <w:tc>
          <w:tcPr>
            <w:tcW w:w="685"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0.000</w:t>
            </w:r>
          </w:p>
        </w:tc>
        <w:tc>
          <w:tcPr>
            <w:tcW w:w="685" w:type="pct"/>
            <w:tcBorders>
              <w:top w:val="single" w:sz="4" w:space="0" w:color="auto"/>
              <w:left w:val="nil"/>
              <w:bottom w:val="nil"/>
              <w:right w:val="nil"/>
            </w:tcBorders>
            <w:vAlign w:val="bottom"/>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25.233</w:t>
            </w:r>
          </w:p>
        </w:tc>
        <w:tc>
          <w:tcPr>
            <w:tcW w:w="685" w:type="pct"/>
            <w:tcBorders>
              <w:top w:val="single" w:sz="4" w:space="0" w:color="auto"/>
            </w:tcBorders>
            <w:vAlign w:val="bottom"/>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0.000</w:t>
            </w:r>
          </w:p>
        </w:tc>
      </w:tr>
      <w:tr w:rsidR="001013CE" w:rsidRPr="001013CE" w:rsidTr="0043562D">
        <w:trPr>
          <w:trHeight w:val="297"/>
          <w:jc w:val="center"/>
        </w:trPr>
        <w:tc>
          <w:tcPr>
            <w:tcW w:w="1191"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rPr>
                <w:i/>
                <w:color w:val="000000"/>
                <w:sz w:val="20"/>
                <w:szCs w:val="20"/>
                <w:lang w:val="en-GB" w:eastAsia="en-US"/>
              </w:rPr>
            </w:pPr>
            <w:r w:rsidRPr="001013CE">
              <w:rPr>
                <w:i/>
                <w:color w:val="000000"/>
                <w:sz w:val="20"/>
                <w:szCs w:val="20"/>
                <w:lang w:val="en-GB" w:eastAsia="en-US"/>
              </w:rPr>
              <w:lastRenderedPageBreak/>
              <w:t>Productive capital</w:t>
            </w:r>
          </w:p>
        </w:tc>
        <w:tc>
          <w:tcPr>
            <w:tcW w:w="453"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0.45257</w:t>
            </w:r>
          </w:p>
        </w:tc>
        <w:tc>
          <w:tcPr>
            <w:tcW w:w="481"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-0.02</w:t>
            </w:r>
          </w:p>
        </w:tc>
        <w:tc>
          <w:tcPr>
            <w:tcW w:w="341"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0.059</w:t>
            </w:r>
          </w:p>
        </w:tc>
        <w:tc>
          <w:tcPr>
            <w:tcW w:w="480"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8.00969</w:t>
            </w:r>
          </w:p>
        </w:tc>
        <w:tc>
          <w:tcPr>
            <w:tcW w:w="685" w:type="pct"/>
            <w:tcBorders>
              <w:top w:val="nil"/>
              <w:left w:val="nil"/>
              <w:bottom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0.000</w:t>
            </w:r>
          </w:p>
        </w:tc>
        <w:tc>
          <w:tcPr>
            <w:tcW w:w="685" w:type="pct"/>
            <w:tcBorders>
              <w:top w:val="nil"/>
              <w:left w:val="nil"/>
              <w:bottom w:val="nil"/>
              <w:right w:val="nil"/>
            </w:tcBorders>
            <w:vAlign w:val="bottom"/>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34.830</w:t>
            </w:r>
          </w:p>
        </w:tc>
        <w:tc>
          <w:tcPr>
            <w:tcW w:w="685" w:type="pct"/>
            <w:vAlign w:val="bottom"/>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0.000</w:t>
            </w:r>
          </w:p>
        </w:tc>
      </w:tr>
      <w:tr w:rsidR="001013CE" w:rsidRPr="001013CE" w:rsidTr="0043562D">
        <w:trPr>
          <w:trHeight w:val="297"/>
          <w:jc w:val="center"/>
        </w:trPr>
        <w:tc>
          <w:tcPr>
            <w:tcW w:w="1191" w:type="pct"/>
            <w:tcBorders>
              <w:top w:val="nil"/>
              <w:left w:val="nil"/>
              <w:right w:val="nil"/>
            </w:tcBorders>
            <w:shd w:val="clear" w:color="auto" w:fill="auto"/>
            <w:noWrap/>
            <w:vAlign w:val="bottom"/>
            <w:hideMark/>
          </w:tcPr>
          <w:p w:rsidR="001013CE" w:rsidRPr="001013CE" w:rsidRDefault="001013CE" w:rsidP="001013CE">
            <w:pPr>
              <w:spacing w:after="160" w:line="259" w:lineRule="auto"/>
              <w:rPr>
                <w:i/>
                <w:color w:val="000000"/>
                <w:sz w:val="20"/>
                <w:szCs w:val="20"/>
                <w:lang w:val="en-GB" w:eastAsia="en-US"/>
              </w:rPr>
            </w:pPr>
            <w:r w:rsidRPr="001013CE">
              <w:rPr>
                <w:i/>
                <w:color w:val="000000"/>
                <w:sz w:val="20"/>
                <w:szCs w:val="20"/>
                <w:lang w:val="en-GB" w:eastAsia="en-US"/>
              </w:rPr>
              <w:t>Workers</w:t>
            </w:r>
          </w:p>
        </w:tc>
        <w:tc>
          <w:tcPr>
            <w:tcW w:w="453" w:type="pct"/>
            <w:tcBorders>
              <w:top w:val="nil"/>
              <w:left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0.44521</w:t>
            </w:r>
          </w:p>
        </w:tc>
        <w:tc>
          <w:tcPr>
            <w:tcW w:w="481" w:type="pct"/>
            <w:tcBorders>
              <w:top w:val="nil"/>
              <w:left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-0.02</w:t>
            </w:r>
          </w:p>
        </w:tc>
        <w:tc>
          <w:tcPr>
            <w:tcW w:w="341" w:type="pct"/>
            <w:tcBorders>
              <w:top w:val="nil"/>
              <w:left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0.059</w:t>
            </w:r>
          </w:p>
        </w:tc>
        <w:tc>
          <w:tcPr>
            <w:tcW w:w="480" w:type="pct"/>
            <w:tcBorders>
              <w:top w:val="nil"/>
              <w:left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7.88499</w:t>
            </w:r>
          </w:p>
        </w:tc>
        <w:tc>
          <w:tcPr>
            <w:tcW w:w="685" w:type="pct"/>
            <w:tcBorders>
              <w:top w:val="nil"/>
              <w:left w:val="nil"/>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0.000</w:t>
            </w:r>
          </w:p>
        </w:tc>
        <w:tc>
          <w:tcPr>
            <w:tcW w:w="685" w:type="pct"/>
            <w:tcBorders>
              <w:top w:val="nil"/>
              <w:left w:val="nil"/>
              <w:right w:val="nil"/>
            </w:tcBorders>
            <w:vAlign w:val="bottom"/>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18.998</w:t>
            </w:r>
          </w:p>
        </w:tc>
        <w:tc>
          <w:tcPr>
            <w:tcW w:w="685" w:type="pct"/>
            <w:vAlign w:val="bottom"/>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0.000</w:t>
            </w:r>
          </w:p>
        </w:tc>
      </w:tr>
      <w:tr w:rsidR="001013CE" w:rsidRPr="001013CE" w:rsidTr="0043562D">
        <w:trPr>
          <w:trHeight w:val="246"/>
          <w:jc w:val="center"/>
        </w:trPr>
        <w:tc>
          <w:tcPr>
            <w:tcW w:w="1191"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rPr>
                <w:i/>
                <w:color w:val="000000"/>
                <w:sz w:val="20"/>
                <w:szCs w:val="20"/>
                <w:lang w:val="en-GB" w:eastAsia="en-US"/>
              </w:rPr>
            </w:pPr>
            <w:r w:rsidRPr="001013CE">
              <w:rPr>
                <w:i/>
                <w:color w:val="000000"/>
                <w:sz w:val="20"/>
                <w:szCs w:val="20"/>
                <w:lang w:val="en-GB" w:eastAsia="en-US"/>
              </w:rPr>
              <w:t>Total Factor Productivity</w:t>
            </w:r>
          </w:p>
        </w:tc>
        <w:tc>
          <w:tcPr>
            <w:tcW w:w="453"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0.00836</w:t>
            </w:r>
          </w:p>
        </w:tc>
        <w:tc>
          <w:tcPr>
            <w:tcW w:w="481"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-0.02</w:t>
            </w:r>
          </w:p>
        </w:tc>
        <w:tc>
          <w:tcPr>
            <w:tcW w:w="341"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0.059</w:t>
            </w:r>
          </w:p>
        </w:tc>
        <w:tc>
          <w:tcPr>
            <w:tcW w:w="480"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0.48063</w:t>
            </w:r>
          </w:p>
        </w:tc>
        <w:tc>
          <w:tcPr>
            <w:tcW w:w="685" w:type="pct"/>
            <w:tcBorders>
              <w:top w:val="nil"/>
              <w:left w:val="nil"/>
              <w:bottom w:val="single" w:sz="4" w:space="0" w:color="auto"/>
              <w:right w:val="nil"/>
            </w:tcBorders>
            <w:shd w:val="clear" w:color="auto" w:fill="auto"/>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0.315</w:t>
            </w:r>
          </w:p>
        </w:tc>
        <w:tc>
          <w:tcPr>
            <w:tcW w:w="685" w:type="pct"/>
            <w:tcBorders>
              <w:top w:val="nil"/>
              <w:left w:val="nil"/>
              <w:bottom w:val="single" w:sz="4" w:space="0" w:color="auto"/>
              <w:right w:val="nil"/>
            </w:tcBorders>
            <w:vAlign w:val="bottom"/>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5.539</w:t>
            </w:r>
          </w:p>
        </w:tc>
        <w:tc>
          <w:tcPr>
            <w:tcW w:w="685" w:type="pct"/>
            <w:tcBorders>
              <w:bottom w:val="single" w:sz="4" w:space="0" w:color="auto"/>
            </w:tcBorders>
            <w:vAlign w:val="bottom"/>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0.000</w:t>
            </w:r>
          </w:p>
        </w:tc>
      </w:tr>
      <w:tr w:rsidR="001013CE" w:rsidRPr="001013CE" w:rsidTr="0043562D">
        <w:trPr>
          <w:trHeight w:val="166"/>
          <w:jc w:val="center"/>
        </w:trPr>
        <w:tc>
          <w:tcPr>
            <w:tcW w:w="3631" w:type="pct"/>
            <w:gridSpan w:val="6"/>
            <w:tcBorders>
              <w:top w:val="single" w:sz="4" w:space="0" w:color="auto"/>
              <w:left w:val="nil"/>
              <w:right w:val="nil"/>
            </w:tcBorders>
            <w:shd w:val="clear" w:color="auto" w:fill="auto"/>
            <w:noWrap/>
            <w:vAlign w:val="bottom"/>
          </w:tcPr>
          <w:p w:rsidR="001013CE" w:rsidRPr="001013CE" w:rsidRDefault="001013CE" w:rsidP="001013CE">
            <w:pPr>
              <w:spacing w:after="160" w:line="259" w:lineRule="auto"/>
              <w:rPr>
                <w:i/>
                <w:color w:val="000000"/>
                <w:sz w:val="20"/>
                <w:szCs w:val="20"/>
                <w:lang w:val="en-GB" w:eastAsia="en-US"/>
              </w:rPr>
            </w:pPr>
            <w:r w:rsidRPr="001013CE">
              <w:rPr>
                <w:i/>
                <w:color w:val="000000"/>
                <w:sz w:val="20"/>
                <w:szCs w:val="20"/>
                <w:lang w:val="en-GB" w:eastAsia="en-US"/>
              </w:rPr>
              <w:t xml:space="preserve">Note: </w:t>
            </w:r>
            <w:r w:rsidRPr="001013CE">
              <w:rPr>
                <w:color w:val="000000"/>
                <w:sz w:val="20"/>
                <w:szCs w:val="20"/>
                <w:lang w:val="en-GB" w:eastAsia="en-US"/>
              </w:rPr>
              <w:t>VA, K and L are expressed in per capita terms. All the variables are in log form.</w:t>
            </w:r>
          </w:p>
          <w:p w:rsidR="001013CE" w:rsidRPr="001013CE" w:rsidRDefault="001013CE" w:rsidP="001013CE">
            <w:pPr>
              <w:spacing w:after="160" w:line="259" w:lineRule="auto"/>
              <w:rPr>
                <w:i/>
                <w:color w:val="000000"/>
                <w:sz w:val="20"/>
                <w:szCs w:val="20"/>
                <w:lang w:val="en-GB" w:eastAsia="en-US"/>
              </w:rPr>
            </w:pPr>
            <w:r w:rsidRPr="001013CE">
              <w:rPr>
                <w:i/>
                <w:color w:val="000000"/>
                <w:sz w:val="20"/>
                <w:szCs w:val="20"/>
                <w:lang w:val="en-GB" w:eastAsia="en-US"/>
              </w:rPr>
              <w:t xml:space="preserve">Source: </w:t>
            </w:r>
            <w:r w:rsidRPr="001013CE">
              <w:rPr>
                <w:color w:val="000000"/>
                <w:sz w:val="20"/>
                <w:szCs w:val="20"/>
                <w:lang w:val="en-GB" w:eastAsia="en-US"/>
              </w:rPr>
              <w:t>Author’s estimations.</w:t>
            </w:r>
            <w:r w:rsidRPr="001013CE">
              <w:rPr>
                <w:i/>
                <w:color w:val="000000"/>
                <w:sz w:val="20"/>
                <w:szCs w:val="20"/>
                <w:lang w:val="en-GB" w:eastAsia="en-US"/>
              </w:rPr>
              <w:t xml:space="preserve"> </w:t>
            </w:r>
          </w:p>
        </w:tc>
        <w:tc>
          <w:tcPr>
            <w:tcW w:w="685" w:type="pct"/>
            <w:tcBorders>
              <w:top w:val="single" w:sz="4" w:space="0" w:color="auto"/>
              <w:left w:val="nil"/>
              <w:right w:val="nil"/>
            </w:tcBorders>
          </w:tcPr>
          <w:p w:rsidR="001013CE" w:rsidRPr="001013CE" w:rsidRDefault="001013CE" w:rsidP="001013CE">
            <w:pPr>
              <w:spacing w:after="160" w:line="259" w:lineRule="auto"/>
              <w:rPr>
                <w:i/>
                <w:color w:val="000000"/>
                <w:sz w:val="20"/>
                <w:szCs w:val="20"/>
                <w:lang w:val="en-GB" w:eastAsia="en-US"/>
              </w:rPr>
            </w:pPr>
          </w:p>
        </w:tc>
        <w:tc>
          <w:tcPr>
            <w:tcW w:w="685" w:type="pct"/>
            <w:tcBorders>
              <w:top w:val="single" w:sz="4" w:space="0" w:color="auto"/>
              <w:left w:val="nil"/>
              <w:right w:val="nil"/>
            </w:tcBorders>
          </w:tcPr>
          <w:p w:rsidR="001013CE" w:rsidRPr="001013CE" w:rsidRDefault="001013CE" w:rsidP="001013CE">
            <w:pPr>
              <w:spacing w:after="160" w:line="259" w:lineRule="auto"/>
              <w:rPr>
                <w:i/>
                <w:color w:val="000000"/>
                <w:sz w:val="20"/>
                <w:szCs w:val="20"/>
                <w:lang w:val="en-GB" w:eastAsia="en-US"/>
              </w:rPr>
            </w:pPr>
          </w:p>
        </w:tc>
      </w:tr>
    </w:tbl>
    <w:p w:rsidR="001013CE" w:rsidRPr="001013CE" w:rsidRDefault="001013CE" w:rsidP="001013CE">
      <w:pPr>
        <w:spacing w:before="120" w:after="120" w:line="360" w:lineRule="auto"/>
        <w:ind w:firstLine="357"/>
        <w:jc w:val="both"/>
        <w:rPr>
          <w:rFonts w:eastAsia="Calibri"/>
          <w:sz w:val="22"/>
          <w:szCs w:val="22"/>
          <w:lang w:val="en-GB" w:eastAsia="en-US"/>
        </w:rPr>
      </w:pP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To check for the robustness of the previous results, the Pesaran (2004) cross-section dependence (CD) test is applied</w:t>
      </w:r>
      <w:r w:rsidRPr="001013CE">
        <w:rPr>
          <w:rFonts w:eastAsia="Calibri"/>
          <w:sz w:val="22"/>
          <w:szCs w:val="22"/>
          <w:vertAlign w:val="superscript"/>
          <w:lang w:val="en-GB" w:eastAsia="en-US"/>
        </w:rPr>
        <w:footnoteReference w:id="17"/>
      </w:r>
      <w:r w:rsidRPr="001013CE">
        <w:rPr>
          <w:rFonts w:eastAsia="Calibri"/>
          <w:sz w:val="22"/>
          <w:szCs w:val="22"/>
          <w:lang w:val="en-GB" w:eastAsia="en-US"/>
        </w:rPr>
        <w:t>. The two methods are not related because the CD test does not account for physical distances. The CD statistic is built from the correlation of the residuals from a OLS regression of the variable on two of its own lags, for a pair of regions</w:t>
      </w:r>
      <w:r w:rsidRPr="001013CE">
        <w:rPr>
          <w:rFonts w:eastAsia="Calibri"/>
          <w:i/>
          <w:sz w:val="22"/>
          <w:szCs w:val="22"/>
          <w:lang w:val="en-GB" w:eastAsia="en-US"/>
        </w:rPr>
        <w:t xml:space="preserve"> r</w:t>
      </w:r>
      <w:r w:rsidRPr="001013CE">
        <w:rPr>
          <w:sz w:val="22"/>
          <w:szCs w:val="22"/>
          <w:lang w:val="en-GB" w:eastAsia="en-US"/>
        </w:rPr>
        <w:t xml:space="preserve"> and </w:t>
      </w:r>
      <m:oMath>
        <m:r>
          <w:rPr>
            <w:rFonts w:ascii="Cambria Math" w:hAnsi="Cambria Math"/>
            <w:sz w:val="22"/>
            <w:szCs w:val="22"/>
            <w:lang w:val="en-GB" w:eastAsia="en-US"/>
          </w:rPr>
          <m:t>s</m:t>
        </m:r>
      </m:oMath>
      <w:r w:rsidRPr="001013CE">
        <w:rPr>
          <w:sz w:val="22"/>
          <w:szCs w:val="22"/>
          <w:lang w:val="en-GB" w:eastAsia="en-US"/>
        </w:rPr>
        <w:t xml:space="preserve">, where </w:t>
      </w:r>
      <m:oMath>
        <m:r>
          <w:rPr>
            <w:rFonts w:ascii="Cambria Math" w:eastAsia="Calibri" w:hAnsi="Cambria Math"/>
            <w:sz w:val="22"/>
            <w:szCs w:val="22"/>
            <w:lang w:val="en-GB" w:eastAsia="en-US"/>
          </w:rPr>
          <m:t>r≠s</m:t>
        </m:r>
      </m:oMath>
      <w:r w:rsidRPr="001013CE">
        <w:rPr>
          <w:sz w:val="22"/>
          <w:szCs w:val="22"/>
          <w:lang w:val="en-GB" w:eastAsia="en-US"/>
        </w:rPr>
        <w:t>. The regressions include an intercept and a linear trend.</w:t>
      </w:r>
      <w:r w:rsidRPr="001013CE">
        <w:rPr>
          <w:rFonts w:eastAsia="Calibri"/>
          <w:sz w:val="22"/>
          <w:szCs w:val="22"/>
          <w:lang w:val="en-GB" w:eastAsia="en-US"/>
        </w:rPr>
        <w:t xml:space="preserve"> The statistic is normally distributed under the null (cross-section independence). Equation 9 below describes the CD statistic:</w:t>
      </w:r>
    </w:p>
    <w:p w:rsidR="001013CE" w:rsidRPr="001013CE" w:rsidRDefault="001013CE" w:rsidP="001013CE">
      <w:pPr>
        <w:spacing w:before="240" w:after="240" w:line="360" w:lineRule="auto"/>
        <w:jc w:val="right"/>
        <w:rPr>
          <w:i/>
          <w:iCs/>
          <w:color w:val="000000"/>
          <w:sz w:val="18"/>
          <w:szCs w:val="18"/>
          <w:lang w:val="en-GB" w:eastAsia="en-US"/>
        </w:rPr>
      </w:pPr>
      <m:oMath>
        <m:r>
          <w:rPr>
            <w:rFonts w:ascii="Cambria Math" w:eastAsia="Calibri" w:hAnsi="Cambria Math"/>
            <w:color w:val="000000"/>
            <w:lang w:val="en-GB" w:eastAsia="en-US"/>
          </w:rPr>
          <m:t>CD=</m:t>
        </m:r>
        <m:rad>
          <m:radPr>
            <m:degHide m:val="1"/>
            <m:ctrlPr>
              <w:rPr>
                <w:rFonts w:ascii="Cambria Math" w:eastAsia="Calibri" w:hAnsi="Cambria Math"/>
                <w:iCs/>
                <w:color w:val="000000"/>
                <w:lang w:val="en-GB" w:eastAsia="en-US"/>
              </w:rPr>
            </m:ctrlPr>
          </m:radPr>
          <m:deg/>
          <m:e>
            <m:f>
              <m:fPr>
                <m:ctrlPr>
                  <w:rPr>
                    <w:rFonts w:ascii="Cambria Math" w:eastAsia="Calibri" w:hAnsi="Cambria Math"/>
                    <w:iCs/>
                    <w:color w:val="000000"/>
                    <w:lang w:val="en-GB" w:eastAsia="en-US"/>
                  </w:rPr>
                </m:ctrlPr>
              </m:fPr>
              <m:num>
                <m:r>
                  <w:rPr>
                    <w:rFonts w:ascii="Cambria Math" w:eastAsia="Calibri" w:hAnsi="Cambria Math"/>
                    <w:color w:val="000000"/>
                    <w:lang w:val="en-GB" w:eastAsia="en-US"/>
                  </w:rPr>
                  <m:t>2T</m:t>
                </m:r>
              </m:num>
              <m:den>
                <m:r>
                  <w:rPr>
                    <w:rFonts w:ascii="Cambria Math" w:eastAsia="Calibri" w:hAnsi="Cambria Math"/>
                    <w:color w:val="000000"/>
                    <w:lang w:val="en-GB" w:eastAsia="en-US"/>
                  </w:rPr>
                  <m:t>N-1</m:t>
                </m:r>
              </m:den>
            </m:f>
            <m:nary>
              <m:naryPr>
                <m:chr m:val="∑"/>
                <m:limLoc m:val="undOvr"/>
                <m:ctrlPr>
                  <w:rPr>
                    <w:rFonts w:ascii="Cambria Math" w:eastAsia="Calibri" w:hAnsi="Cambria Math"/>
                    <w:iCs/>
                    <w:color w:val="000000"/>
                    <w:lang w:val="en-GB" w:eastAsia="en-US"/>
                  </w:rPr>
                </m:ctrlPr>
              </m:naryPr>
              <m:sub>
                <m:r>
                  <w:rPr>
                    <w:rFonts w:ascii="Cambria Math" w:eastAsia="Calibri" w:hAnsi="Cambria Math"/>
                    <w:color w:val="000000"/>
                    <w:lang w:val="en-GB" w:eastAsia="en-US"/>
                  </w:rPr>
                  <m:t>r=1</m:t>
                </m:r>
              </m:sub>
              <m:sup>
                <m:r>
                  <w:rPr>
                    <w:rFonts w:ascii="Cambria Math" w:eastAsia="Calibri" w:hAnsi="Cambria Math"/>
                    <w:color w:val="000000"/>
                    <w:lang w:val="en-GB" w:eastAsia="en-US"/>
                  </w:rPr>
                  <m:t>N</m:t>
                </m:r>
              </m:sup>
              <m:e>
                <m:nary>
                  <m:naryPr>
                    <m:chr m:val="∑"/>
                    <m:limLoc m:val="undOvr"/>
                    <m:ctrlPr>
                      <w:rPr>
                        <w:rFonts w:ascii="Cambria Math" w:eastAsia="Calibri" w:hAnsi="Cambria Math"/>
                        <w:iCs/>
                        <w:color w:val="000000"/>
                        <w:lang w:val="en-GB" w:eastAsia="en-US"/>
                      </w:rPr>
                    </m:ctrlPr>
                  </m:naryPr>
                  <m:sub>
                    <m:r>
                      <w:rPr>
                        <w:rFonts w:ascii="Cambria Math" w:eastAsia="Calibri" w:hAnsi="Cambria Math"/>
                        <w:color w:val="000000"/>
                        <w:lang w:val="en-GB" w:eastAsia="en-US"/>
                      </w:rPr>
                      <m:t>s=r+1</m:t>
                    </m:r>
                  </m:sub>
                  <m:sup>
                    <m:r>
                      <w:rPr>
                        <w:rFonts w:ascii="Cambria Math" w:eastAsia="Calibri" w:hAnsi="Cambria Math"/>
                        <w:color w:val="000000"/>
                        <w:lang w:val="en-GB" w:eastAsia="en-US"/>
                      </w:rPr>
                      <m:t>N-1</m:t>
                    </m:r>
                  </m:sup>
                  <m:e>
                    <m:acc>
                      <m:accPr>
                        <m:ctrlPr>
                          <w:rPr>
                            <w:rFonts w:ascii="Cambria Math" w:eastAsia="Calibri" w:hAnsi="Cambria Math"/>
                            <w:iCs/>
                            <w:color w:val="000000"/>
                            <w:lang w:val="en-GB" w:eastAsia="en-US"/>
                          </w:rPr>
                        </m:ctrlPr>
                      </m:accPr>
                      <m:e>
                        <m:r>
                          <w:rPr>
                            <w:rFonts w:ascii="Cambria Math" w:eastAsia="Calibri" w:hAnsi="Cambria Math"/>
                            <w:color w:val="000000"/>
                            <w:lang w:val="en-GB" w:eastAsia="en-US"/>
                          </w:rPr>
                          <m:t>corr</m:t>
                        </m:r>
                      </m:e>
                    </m:acc>
                    <m:r>
                      <w:rPr>
                        <w:rFonts w:ascii="Cambria Math" w:eastAsia="Calibri" w:hAnsi="Cambria Math"/>
                        <w:color w:val="000000"/>
                        <w:lang w:val="en-GB" w:eastAsia="en-US"/>
                      </w:rPr>
                      <m:t>(</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u</m:t>
                        </m:r>
                      </m:e>
                      <m:sub>
                        <m:r>
                          <w:rPr>
                            <w:rFonts w:ascii="Cambria Math" w:eastAsia="Calibri" w:hAnsi="Cambria Math"/>
                            <w:color w:val="000000"/>
                            <w:lang w:val="en-GB" w:eastAsia="en-US"/>
                          </w:rPr>
                          <m:t>r</m:t>
                        </m:r>
                      </m:sub>
                    </m:sSub>
                    <m:r>
                      <w:rPr>
                        <w:rFonts w:ascii="Cambria Math" w:eastAsia="Calibri" w:hAnsi="Cambria Math"/>
                        <w:color w:val="000000"/>
                        <w:lang w:val="en-GB" w:eastAsia="en-US"/>
                      </w:rPr>
                      <m:t>,</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u</m:t>
                        </m:r>
                      </m:e>
                      <m:sub>
                        <m:r>
                          <w:rPr>
                            <w:rFonts w:ascii="Cambria Math" w:eastAsia="Calibri" w:hAnsi="Cambria Math"/>
                            <w:color w:val="000000"/>
                            <w:lang w:val="en-GB" w:eastAsia="en-US"/>
                          </w:rPr>
                          <m:t>s</m:t>
                        </m:r>
                      </m:sub>
                    </m:sSub>
                    <m:r>
                      <w:rPr>
                        <w:rFonts w:ascii="Cambria Math" w:eastAsia="Calibri" w:hAnsi="Cambria Math"/>
                        <w:color w:val="000000"/>
                        <w:lang w:val="en-GB" w:eastAsia="en-US"/>
                      </w:rPr>
                      <m:t>)</m:t>
                    </m:r>
                  </m:e>
                </m:nary>
              </m:e>
            </m:nary>
          </m:e>
        </m:rad>
      </m:oMath>
      <w:r w:rsidRPr="001013CE">
        <w:rPr>
          <w:i/>
          <w:iCs/>
          <w:color w:val="000000"/>
          <w:sz w:val="18"/>
          <w:szCs w:val="18"/>
          <w:lang w:val="en-GB" w:eastAsia="en-US"/>
        </w:rPr>
        <w:tab/>
      </w:r>
      <w:r w:rsidRPr="001013CE">
        <w:rPr>
          <w:i/>
          <w:iCs/>
          <w:color w:val="000000"/>
          <w:sz w:val="18"/>
          <w:szCs w:val="18"/>
          <w:lang w:val="en-GB" w:eastAsia="en-US"/>
        </w:rPr>
        <w:tab/>
      </w:r>
      <w:r w:rsidRPr="001013CE">
        <w:rPr>
          <w:iCs/>
          <w:color w:val="000000"/>
          <w:lang w:val="en-GB" w:eastAsia="en-US"/>
        </w:rPr>
        <w:tab/>
      </w:r>
      <w:r w:rsidRPr="001013CE">
        <w:rPr>
          <w:rFonts w:eastAsia="Calibri"/>
          <w:iCs/>
          <w:color w:val="000000"/>
          <w:lang w:val="en-GB" w:eastAsia="en-US"/>
        </w:rPr>
        <w:t xml:space="preserve">( </w:t>
      </w:r>
      <w:r w:rsidRPr="001013CE">
        <w:rPr>
          <w:rFonts w:eastAsia="Calibri"/>
          <w:iCs/>
          <w:color w:val="000000"/>
          <w:lang w:val="en-GB" w:eastAsia="en-US"/>
        </w:rPr>
        <w:fldChar w:fldCharType="begin"/>
      </w:r>
      <w:r w:rsidRPr="001013CE">
        <w:rPr>
          <w:rFonts w:eastAsia="Calibri"/>
          <w:iCs/>
          <w:color w:val="000000"/>
          <w:lang w:val="en-GB" w:eastAsia="en-US"/>
        </w:rPr>
        <w:instrText xml:space="preserve"> SEQ ( \* ARABIC </w:instrText>
      </w:r>
      <w:r w:rsidRPr="001013CE">
        <w:rPr>
          <w:rFonts w:eastAsia="Calibri"/>
          <w:iCs/>
          <w:color w:val="000000"/>
          <w:lang w:val="en-GB" w:eastAsia="en-US"/>
        </w:rPr>
        <w:fldChar w:fldCharType="separate"/>
      </w:r>
      <w:r w:rsidRPr="001013CE">
        <w:rPr>
          <w:rFonts w:eastAsia="Calibri"/>
          <w:iCs/>
          <w:noProof/>
          <w:color w:val="000000"/>
          <w:lang w:val="en-GB" w:eastAsia="en-US"/>
        </w:rPr>
        <w:t>9</w:t>
      </w:r>
      <w:r w:rsidRPr="001013CE">
        <w:rPr>
          <w:rFonts w:eastAsia="Calibri"/>
          <w:iCs/>
          <w:color w:val="000000"/>
          <w:lang w:val="en-GB" w:eastAsia="en-US"/>
        </w:rPr>
        <w:fldChar w:fldCharType="end"/>
      </w:r>
      <w:r w:rsidRPr="001013CE">
        <w:rPr>
          <w:rFonts w:eastAsia="Calibri"/>
          <w:iCs/>
          <w:color w:val="000000"/>
          <w:lang w:val="en-GB" w:eastAsia="en-US"/>
        </w:rPr>
        <w:t xml:space="preserve"> )</w:t>
      </w:r>
    </w:p>
    <w:p w:rsidR="001013CE" w:rsidRPr="001013CE" w:rsidRDefault="001013CE" w:rsidP="001013CE">
      <w:pPr>
        <w:spacing w:before="120" w:after="120" w:line="360" w:lineRule="auto"/>
        <w:ind w:firstLine="357"/>
        <w:jc w:val="both"/>
        <w:rPr>
          <w:sz w:val="22"/>
          <w:szCs w:val="22"/>
          <w:lang w:val="en-GB" w:eastAsia="en-US"/>
        </w:rPr>
      </w:pPr>
      <w:r w:rsidRPr="001013CE">
        <w:rPr>
          <w:sz w:val="22"/>
          <w:szCs w:val="22"/>
          <w:lang w:val="en-GB" w:eastAsia="en-US"/>
        </w:rPr>
        <w:t xml:space="preserve">Where N is the number of observations and T the number of periods. The terms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u</m:t>
            </m:r>
          </m:e>
          <m:sub>
            <m:r>
              <w:rPr>
                <w:rFonts w:ascii="Cambria Math" w:eastAsia="Calibri" w:hAnsi="Cambria Math"/>
                <w:sz w:val="22"/>
                <w:szCs w:val="22"/>
                <w:lang w:val="en-GB" w:eastAsia="en-US"/>
              </w:rPr>
              <m:t>r</m:t>
            </m:r>
          </m:sub>
        </m:sSub>
      </m:oMath>
      <w:r w:rsidRPr="001013CE">
        <w:rPr>
          <w:sz w:val="22"/>
          <w:szCs w:val="22"/>
          <w:lang w:val="en-GB" w:eastAsia="en-US"/>
        </w:rPr>
        <w:t xml:space="preserve"> and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u</m:t>
            </m:r>
          </m:e>
          <m:sub>
            <m:r>
              <w:rPr>
                <w:rFonts w:ascii="Cambria Math" w:eastAsia="Calibri" w:hAnsi="Cambria Math"/>
                <w:sz w:val="22"/>
                <w:szCs w:val="22"/>
                <w:lang w:val="en-GB" w:eastAsia="en-US"/>
              </w:rPr>
              <m:t>s</m:t>
            </m:r>
          </m:sub>
        </m:sSub>
      </m:oMath>
      <w:r w:rsidRPr="001013CE">
        <w:rPr>
          <w:sz w:val="22"/>
          <w:szCs w:val="22"/>
          <w:lang w:val="en-GB" w:eastAsia="en-US"/>
        </w:rPr>
        <w:t xml:space="preserve"> are the residuals of the OLS regression. All the variables report high values of the CD statistic at the two levels of aggregation and are significant at 1% level. Therefore, the CD test indicates that there is correlation between pairs of observations located in different areas. Moreover, the results from the Moran I test suggest that spatial effects might cause it.</w:t>
      </w:r>
    </w:p>
    <w:p w:rsidR="001013CE" w:rsidRPr="001013CE" w:rsidRDefault="001013CE" w:rsidP="001013CE">
      <w:pPr>
        <w:spacing w:after="160" w:line="259" w:lineRule="auto"/>
        <w:jc w:val="center"/>
        <w:rPr>
          <w:rFonts w:eastAsia="Calibri"/>
          <w:b/>
          <w:sz w:val="22"/>
          <w:lang w:val="en-GB" w:eastAsia="en-US"/>
        </w:rPr>
      </w:pPr>
    </w:p>
    <w:p w:rsidR="001013CE" w:rsidRPr="001013CE" w:rsidRDefault="001013CE" w:rsidP="001013CE">
      <w:pPr>
        <w:keepNext/>
        <w:keepLines/>
        <w:numPr>
          <w:ilvl w:val="0"/>
          <w:numId w:val="1"/>
        </w:numPr>
        <w:spacing w:before="120" w:after="120" w:line="360" w:lineRule="auto"/>
        <w:ind w:left="357" w:hanging="357"/>
        <w:outlineLvl w:val="0"/>
        <w:rPr>
          <w:b/>
          <w:color w:val="000000"/>
          <w:szCs w:val="32"/>
          <w:lang w:val="en-GB" w:eastAsia="en-US"/>
        </w:rPr>
      </w:pPr>
      <w:bookmarkStart w:id="11" w:name="_Toc446283080"/>
      <w:bookmarkStart w:id="12" w:name="_Toc448256134"/>
      <w:r w:rsidRPr="001013CE">
        <w:rPr>
          <w:b/>
          <w:color w:val="000000"/>
          <w:szCs w:val="32"/>
          <w:lang w:val="en-GB" w:eastAsia="en-US"/>
        </w:rPr>
        <w:t xml:space="preserve">Results: </w:t>
      </w:r>
      <w:bookmarkEnd w:id="11"/>
      <w:bookmarkEnd w:id="12"/>
    </w:p>
    <w:p w:rsidR="001013CE" w:rsidRPr="001013CE" w:rsidRDefault="001013CE" w:rsidP="001013CE">
      <w:pPr>
        <w:keepNext/>
        <w:keepLines/>
        <w:numPr>
          <w:ilvl w:val="1"/>
          <w:numId w:val="1"/>
        </w:numPr>
        <w:spacing w:before="120" w:after="120" w:line="360" w:lineRule="auto"/>
        <w:outlineLvl w:val="1"/>
        <w:rPr>
          <w:b/>
          <w:color w:val="000000"/>
          <w:szCs w:val="26"/>
          <w:lang w:val="en-GB" w:eastAsia="en-US"/>
        </w:rPr>
      </w:pPr>
      <w:bookmarkStart w:id="13" w:name="_Toc446283081"/>
      <w:r w:rsidRPr="001013CE">
        <w:rPr>
          <w:b/>
          <w:color w:val="000000"/>
          <w:szCs w:val="26"/>
          <w:lang w:val="en-GB" w:eastAsia="en-US"/>
        </w:rPr>
        <w:t xml:space="preserve"> </w:t>
      </w:r>
      <w:bookmarkStart w:id="14" w:name="_Toc448256135"/>
      <w:r w:rsidRPr="001013CE">
        <w:rPr>
          <w:b/>
          <w:color w:val="000000"/>
          <w:szCs w:val="26"/>
          <w:lang w:val="en-GB" w:eastAsia="en-US"/>
        </w:rPr>
        <w:t xml:space="preserve">Regional TFP estimates </w:t>
      </w:r>
      <w:bookmarkEnd w:id="13"/>
      <w:bookmarkEnd w:id="14"/>
    </w:p>
    <w:p w:rsidR="001013CE" w:rsidRPr="001013CE" w:rsidRDefault="001013CE" w:rsidP="001013CE">
      <w:pPr>
        <w:spacing w:before="120" w:after="120" w:line="360" w:lineRule="auto"/>
        <w:ind w:firstLine="360"/>
        <w:jc w:val="both"/>
        <w:rPr>
          <w:rFonts w:eastAsia="Calibri"/>
          <w:color w:val="000000"/>
          <w:sz w:val="22"/>
          <w:szCs w:val="22"/>
          <w:lang w:val="en-GB" w:eastAsia="en-US"/>
        </w:rPr>
      </w:pPr>
      <w:r w:rsidRPr="001013CE">
        <w:rPr>
          <w:rFonts w:eastAsia="Calibri"/>
          <w:color w:val="000000"/>
          <w:sz w:val="22"/>
          <w:szCs w:val="22"/>
          <w:lang w:val="en-GB" w:eastAsia="en-US"/>
        </w:rPr>
        <w:t xml:space="preserve">In order to measure the regional levels of TFP, the production function is estimated by means of the models described in section 3. The results are listed in Table 2 below. In first place, the OLS fixed effects model defined by equation 5 is used as the basic framework (Column I). In this model, the dependent variable is the regional value added. Apart from the year dummies, the only independent variables are the conventional inputs - capital and labour. Due to the underlying endogeneity of the model (section 3) caused by the omission of spillovers, the next specification (equation 6) includes the spatially lagged dependent variable in the list of regressors (Column II). Lastly, the SDM from equation 7 is estimated (Column III). In this case, the model includes also spatial lags of the inputs. The joint significance of these terms indicates that the latter specification fits the data better than the SAR model, as explained in section 3. At the end of each column, the </w:t>
      </w:r>
      <w:r w:rsidRPr="001013CE">
        <w:rPr>
          <w:rFonts w:eastAsia="Calibri"/>
          <w:color w:val="000000"/>
          <w:sz w:val="22"/>
          <w:szCs w:val="22"/>
          <w:lang w:val="en-GB" w:eastAsia="en-US"/>
        </w:rPr>
        <w:lastRenderedPageBreak/>
        <w:t>results of the Moran</w:t>
      </w:r>
      <w:r w:rsidRPr="001013CE" w:rsidDel="00A47899">
        <w:rPr>
          <w:rFonts w:eastAsia="Calibri"/>
          <w:color w:val="000000"/>
          <w:sz w:val="22"/>
          <w:szCs w:val="22"/>
          <w:lang w:val="en-GB" w:eastAsia="en-US"/>
        </w:rPr>
        <w:t xml:space="preserve"> </w:t>
      </w:r>
      <w:r w:rsidRPr="001013CE">
        <w:rPr>
          <w:rFonts w:eastAsia="Calibri"/>
          <w:color w:val="000000"/>
          <w:sz w:val="22"/>
          <w:szCs w:val="22"/>
          <w:lang w:val="en-GB" w:eastAsia="en-US"/>
        </w:rPr>
        <w:t>I test for residual spatial autocorrelation and the Hausman test are reported. All the variables are expressed in per capita terms.</w:t>
      </w:r>
    </w:p>
    <w:p w:rsidR="001013CE" w:rsidRPr="001013CE" w:rsidRDefault="001013CE" w:rsidP="001013CE">
      <w:pPr>
        <w:keepNext/>
        <w:spacing w:after="200"/>
        <w:jc w:val="center"/>
        <w:rPr>
          <w:rFonts w:eastAsia="Calibri"/>
          <w:b/>
          <w:iCs/>
          <w:color w:val="000000"/>
          <w:sz w:val="20"/>
          <w:szCs w:val="20"/>
          <w:lang w:val="en-GB" w:eastAsia="en-US"/>
        </w:rPr>
      </w:pPr>
      <w:bookmarkStart w:id="15" w:name="_Toc448256208"/>
      <w:r w:rsidRPr="001013CE">
        <w:rPr>
          <w:rFonts w:eastAsia="Calibri"/>
          <w:b/>
          <w:iCs/>
          <w:color w:val="000000"/>
          <w:sz w:val="20"/>
          <w:szCs w:val="20"/>
          <w:lang w:val="en-GB" w:eastAsia="en-US"/>
        </w:rPr>
        <w:t>Table 2. Estimates of the production function</w:t>
      </w:r>
      <w:bookmarkEnd w:id="15"/>
    </w:p>
    <w:tbl>
      <w:tblPr>
        <w:tblStyle w:val="Tablaconcuadrcula"/>
        <w:tblW w:w="0" w:type="auto"/>
        <w:jc w:val="center"/>
        <w:tblLook w:val="04A0" w:firstRow="1" w:lastRow="0" w:firstColumn="1" w:lastColumn="0" w:noHBand="0" w:noVBand="1"/>
      </w:tblPr>
      <w:tblGrid>
        <w:gridCol w:w="3686"/>
        <w:gridCol w:w="1073"/>
        <w:gridCol w:w="493"/>
        <w:gridCol w:w="1073"/>
        <w:gridCol w:w="1084"/>
      </w:tblGrid>
      <w:tr w:rsidR="001013CE" w:rsidRPr="001013CE" w:rsidTr="0043562D">
        <w:trPr>
          <w:trHeight w:val="148"/>
          <w:jc w:val="center"/>
        </w:trPr>
        <w:tc>
          <w:tcPr>
            <w:tcW w:w="3686" w:type="dxa"/>
            <w:tcBorders>
              <w:top w:val="single" w:sz="4" w:space="0" w:color="auto"/>
              <w:left w:val="single" w:sz="4" w:space="0" w:color="auto"/>
              <w:bottom w:val="single" w:sz="4" w:space="0" w:color="auto"/>
              <w:right w:val="single" w:sz="4" w:space="0" w:color="auto"/>
            </w:tcBorders>
            <w:vAlign w:val="center"/>
          </w:tcPr>
          <w:p w:rsidR="001013CE" w:rsidRPr="001013CE" w:rsidRDefault="001013CE" w:rsidP="001013CE">
            <w:pPr>
              <w:rPr>
                <w:b/>
                <w:sz w:val="20"/>
                <w:szCs w:val="20"/>
                <w:lang w:val="en-GB" w:eastAsia="en-US"/>
              </w:rPr>
            </w:pPr>
            <w:r w:rsidRPr="001013CE">
              <w:rPr>
                <w:b/>
                <w:sz w:val="20"/>
                <w:szCs w:val="20"/>
                <w:lang w:val="en-GB" w:eastAsia="en-US"/>
              </w:rPr>
              <w:t>Variables/Model</w:t>
            </w:r>
          </w:p>
        </w:tc>
        <w:tc>
          <w:tcPr>
            <w:tcW w:w="1066" w:type="dxa"/>
            <w:tcBorders>
              <w:top w:val="single" w:sz="4" w:space="0" w:color="auto"/>
              <w:left w:val="single" w:sz="4" w:space="0" w:color="auto"/>
              <w:bottom w:val="single" w:sz="4" w:space="0" w:color="auto"/>
              <w:right w:val="single" w:sz="4" w:space="0" w:color="auto"/>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(I) FE</w:t>
            </w:r>
          </w:p>
        </w:tc>
        <w:tc>
          <w:tcPr>
            <w:tcW w:w="493" w:type="dxa"/>
            <w:tcBorders>
              <w:top w:val="single" w:sz="4" w:space="0" w:color="auto"/>
              <w:left w:val="single" w:sz="4" w:space="0" w:color="auto"/>
              <w:bottom w:val="single" w:sz="4" w:space="0" w:color="auto"/>
              <w:right w:val="nil"/>
            </w:tcBorders>
          </w:tcPr>
          <w:p w:rsidR="001013CE" w:rsidRPr="001013CE" w:rsidRDefault="001013CE" w:rsidP="001013CE">
            <w:pPr>
              <w:jc w:val="center"/>
              <w:rPr>
                <w:b/>
                <w:sz w:val="20"/>
                <w:szCs w:val="20"/>
                <w:lang w:val="en-GB" w:eastAsia="en-US"/>
              </w:rPr>
            </w:pPr>
          </w:p>
        </w:tc>
        <w:tc>
          <w:tcPr>
            <w:tcW w:w="1066" w:type="dxa"/>
            <w:tcBorders>
              <w:top w:val="single" w:sz="4" w:space="0" w:color="auto"/>
              <w:left w:val="nil"/>
              <w:bottom w:val="single" w:sz="4" w:space="0" w:color="auto"/>
              <w:right w:val="nil"/>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(II) SAR</w:t>
            </w:r>
          </w:p>
        </w:tc>
        <w:tc>
          <w:tcPr>
            <w:tcW w:w="1084" w:type="dxa"/>
            <w:tcBorders>
              <w:top w:val="single" w:sz="4" w:space="0" w:color="auto"/>
              <w:left w:val="nil"/>
              <w:bottom w:val="single" w:sz="4" w:space="0" w:color="auto"/>
              <w:right w:val="single" w:sz="4" w:space="0" w:color="auto"/>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(III) SDM</w:t>
            </w:r>
          </w:p>
        </w:tc>
      </w:tr>
      <w:tr w:rsidR="001013CE" w:rsidRPr="001013CE" w:rsidTr="0043562D">
        <w:trPr>
          <w:trHeight w:val="523"/>
          <w:jc w:val="center"/>
        </w:trPr>
        <w:tc>
          <w:tcPr>
            <w:tcW w:w="3686" w:type="dxa"/>
            <w:tcBorders>
              <w:top w:val="single" w:sz="4" w:space="0" w:color="auto"/>
              <w:left w:val="single" w:sz="4" w:space="0" w:color="auto"/>
              <w:bottom w:val="nil"/>
              <w:right w:val="single" w:sz="4" w:space="0" w:color="auto"/>
            </w:tcBorders>
            <w:vAlign w:val="center"/>
          </w:tcPr>
          <w:p w:rsidR="001013CE" w:rsidRPr="001013CE" w:rsidRDefault="001013CE" w:rsidP="001013CE">
            <w:pPr>
              <w:jc w:val="right"/>
              <w:rPr>
                <w:b/>
                <w:i/>
                <w:sz w:val="20"/>
                <w:szCs w:val="20"/>
                <w:lang w:val="en-GB" w:eastAsia="en-US"/>
              </w:rPr>
            </w:pPr>
            <w:r w:rsidRPr="001013CE">
              <w:rPr>
                <w:b/>
                <w:i/>
                <w:sz w:val="20"/>
                <w:szCs w:val="20"/>
                <w:lang w:val="en-GB" w:eastAsia="en-US"/>
              </w:rPr>
              <w:t>Capital</w:t>
            </w:r>
          </w:p>
        </w:tc>
        <w:tc>
          <w:tcPr>
            <w:tcW w:w="1066" w:type="dxa"/>
            <w:tcBorders>
              <w:top w:val="single" w:sz="4" w:space="0" w:color="auto"/>
              <w:left w:val="single" w:sz="4" w:space="0" w:color="auto"/>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0.1307*** (0.0191)</w:t>
            </w:r>
          </w:p>
        </w:tc>
        <w:tc>
          <w:tcPr>
            <w:tcW w:w="493" w:type="dxa"/>
            <w:tcBorders>
              <w:top w:val="single" w:sz="4" w:space="0" w:color="auto"/>
              <w:left w:val="single" w:sz="4" w:space="0" w:color="auto"/>
              <w:bottom w:val="nil"/>
              <w:right w:val="nil"/>
            </w:tcBorders>
          </w:tcPr>
          <w:p w:rsidR="001013CE" w:rsidRPr="001013CE" w:rsidRDefault="001013CE" w:rsidP="001013CE">
            <w:pPr>
              <w:jc w:val="center"/>
              <w:rPr>
                <w:sz w:val="20"/>
                <w:szCs w:val="20"/>
                <w:lang w:val="en-GB" w:eastAsia="en-US"/>
              </w:rPr>
            </w:pPr>
          </w:p>
        </w:tc>
        <w:tc>
          <w:tcPr>
            <w:tcW w:w="1066" w:type="dxa"/>
            <w:tcBorders>
              <w:top w:val="single" w:sz="4" w:space="0" w:color="auto"/>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0.1434*** (0.0255)</w:t>
            </w:r>
          </w:p>
        </w:tc>
        <w:tc>
          <w:tcPr>
            <w:tcW w:w="1084" w:type="dxa"/>
            <w:tcBorders>
              <w:top w:val="single" w:sz="4" w:space="0" w:color="auto"/>
              <w:left w:val="nil"/>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0.1383*** (0.0201)</w:t>
            </w:r>
          </w:p>
        </w:tc>
      </w:tr>
      <w:tr w:rsidR="001013CE" w:rsidRPr="001013CE" w:rsidTr="0043562D">
        <w:trPr>
          <w:trHeight w:val="523"/>
          <w:jc w:val="center"/>
        </w:trPr>
        <w:tc>
          <w:tcPr>
            <w:tcW w:w="3686" w:type="dxa"/>
            <w:tcBorders>
              <w:top w:val="nil"/>
              <w:left w:val="single" w:sz="4" w:space="0" w:color="auto"/>
              <w:bottom w:val="nil"/>
              <w:right w:val="single" w:sz="4" w:space="0" w:color="auto"/>
            </w:tcBorders>
            <w:vAlign w:val="center"/>
          </w:tcPr>
          <w:p w:rsidR="001013CE" w:rsidRPr="001013CE" w:rsidRDefault="001013CE" w:rsidP="001013CE">
            <w:pPr>
              <w:jc w:val="right"/>
              <w:rPr>
                <w:b/>
                <w:i/>
                <w:sz w:val="20"/>
                <w:szCs w:val="20"/>
                <w:lang w:val="en-GB" w:eastAsia="en-US"/>
              </w:rPr>
            </w:pPr>
            <w:r w:rsidRPr="001013CE">
              <w:rPr>
                <w:b/>
                <w:i/>
                <w:sz w:val="20"/>
                <w:szCs w:val="20"/>
                <w:lang w:val="en-GB" w:eastAsia="en-US"/>
              </w:rPr>
              <w:t>Workers</w:t>
            </w:r>
          </w:p>
        </w:tc>
        <w:tc>
          <w:tcPr>
            <w:tcW w:w="1066" w:type="dxa"/>
            <w:tcBorders>
              <w:top w:val="nil"/>
              <w:left w:val="single" w:sz="4" w:space="0" w:color="auto"/>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0.3305***</w:t>
            </w:r>
          </w:p>
          <w:p w:rsidR="001013CE" w:rsidRPr="001013CE" w:rsidRDefault="001013CE" w:rsidP="001013CE">
            <w:pPr>
              <w:jc w:val="center"/>
              <w:rPr>
                <w:sz w:val="20"/>
                <w:szCs w:val="20"/>
                <w:lang w:val="en-GB" w:eastAsia="en-US"/>
              </w:rPr>
            </w:pPr>
            <w:r w:rsidRPr="001013CE">
              <w:rPr>
                <w:sz w:val="20"/>
                <w:szCs w:val="20"/>
                <w:lang w:val="en-GB" w:eastAsia="en-US"/>
              </w:rPr>
              <w:t>(0.0249)</w:t>
            </w:r>
          </w:p>
        </w:tc>
        <w:tc>
          <w:tcPr>
            <w:tcW w:w="493" w:type="dxa"/>
            <w:tcBorders>
              <w:top w:val="nil"/>
              <w:left w:val="single" w:sz="4" w:space="0" w:color="auto"/>
              <w:bottom w:val="nil"/>
              <w:right w:val="nil"/>
            </w:tcBorders>
          </w:tcPr>
          <w:p w:rsidR="001013CE" w:rsidRPr="001013CE" w:rsidRDefault="001013CE" w:rsidP="001013CE">
            <w:pPr>
              <w:jc w:val="center"/>
              <w:rPr>
                <w:sz w:val="20"/>
                <w:szCs w:val="20"/>
                <w:lang w:val="en-GB" w:eastAsia="en-US"/>
              </w:rPr>
            </w:pP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0.2772*** (0.0366)</w:t>
            </w:r>
          </w:p>
        </w:tc>
        <w:tc>
          <w:tcPr>
            <w:tcW w:w="1084" w:type="dxa"/>
            <w:tcBorders>
              <w:top w:val="nil"/>
              <w:left w:val="nil"/>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0.3465*** (0.0260)</w:t>
            </w:r>
          </w:p>
        </w:tc>
      </w:tr>
      <w:tr w:rsidR="001013CE" w:rsidRPr="001013CE" w:rsidTr="0043562D">
        <w:trPr>
          <w:trHeight w:val="199"/>
          <w:jc w:val="center"/>
        </w:trPr>
        <w:tc>
          <w:tcPr>
            <w:tcW w:w="3686" w:type="dxa"/>
            <w:tcBorders>
              <w:top w:val="nil"/>
              <w:left w:val="single" w:sz="4" w:space="0" w:color="auto"/>
              <w:bottom w:val="single" w:sz="4" w:space="0" w:color="auto"/>
              <w:right w:val="single" w:sz="4" w:space="0" w:color="auto"/>
            </w:tcBorders>
            <w:vAlign w:val="center"/>
          </w:tcPr>
          <w:p w:rsidR="001013CE" w:rsidRPr="001013CE" w:rsidRDefault="001013CE" w:rsidP="001013CE">
            <w:pPr>
              <w:rPr>
                <w:b/>
                <w:sz w:val="20"/>
                <w:szCs w:val="20"/>
                <w:lang w:val="en-GB" w:eastAsia="en-US"/>
              </w:rPr>
            </w:pPr>
            <w:r w:rsidRPr="001013CE">
              <w:rPr>
                <w:b/>
                <w:sz w:val="20"/>
                <w:szCs w:val="20"/>
                <w:lang w:val="en-GB" w:eastAsia="en-US"/>
              </w:rPr>
              <w:t>Spatially lagged terms</w:t>
            </w:r>
          </w:p>
        </w:tc>
        <w:tc>
          <w:tcPr>
            <w:tcW w:w="1066" w:type="dxa"/>
            <w:tcBorders>
              <w:top w:val="nil"/>
              <w:left w:val="single" w:sz="4" w:space="0" w:color="auto"/>
              <w:bottom w:val="single" w:sz="4" w:space="0" w:color="auto"/>
              <w:right w:val="single" w:sz="4" w:space="0" w:color="auto"/>
            </w:tcBorders>
            <w:vAlign w:val="center"/>
          </w:tcPr>
          <w:p w:rsidR="001013CE" w:rsidRPr="001013CE" w:rsidRDefault="001013CE" w:rsidP="001013CE">
            <w:pPr>
              <w:jc w:val="center"/>
              <w:rPr>
                <w:sz w:val="20"/>
                <w:szCs w:val="20"/>
                <w:lang w:val="en-GB" w:eastAsia="en-US"/>
              </w:rPr>
            </w:pPr>
          </w:p>
        </w:tc>
        <w:tc>
          <w:tcPr>
            <w:tcW w:w="493" w:type="dxa"/>
            <w:tcBorders>
              <w:top w:val="nil"/>
              <w:left w:val="single" w:sz="4" w:space="0" w:color="auto"/>
              <w:bottom w:val="single" w:sz="4" w:space="0" w:color="auto"/>
              <w:right w:val="nil"/>
            </w:tcBorders>
          </w:tcPr>
          <w:p w:rsidR="001013CE" w:rsidRPr="001013CE" w:rsidRDefault="001013CE" w:rsidP="001013CE">
            <w:pPr>
              <w:jc w:val="center"/>
              <w:rPr>
                <w:sz w:val="20"/>
                <w:szCs w:val="20"/>
                <w:lang w:val="en-GB" w:eastAsia="en-US"/>
              </w:rPr>
            </w:pP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084" w:type="dxa"/>
            <w:tcBorders>
              <w:top w:val="nil"/>
              <w:left w:val="nil"/>
              <w:bottom w:val="single" w:sz="4" w:space="0" w:color="auto"/>
              <w:right w:val="single" w:sz="4" w:space="0" w:color="auto"/>
            </w:tcBorders>
            <w:vAlign w:val="center"/>
          </w:tcPr>
          <w:p w:rsidR="001013CE" w:rsidRPr="001013CE" w:rsidRDefault="001013CE" w:rsidP="001013CE">
            <w:pPr>
              <w:jc w:val="center"/>
              <w:rPr>
                <w:sz w:val="20"/>
                <w:szCs w:val="20"/>
                <w:lang w:val="en-GB" w:eastAsia="en-US"/>
              </w:rPr>
            </w:pPr>
          </w:p>
        </w:tc>
      </w:tr>
      <w:tr w:rsidR="001013CE" w:rsidRPr="001013CE" w:rsidTr="0043562D">
        <w:trPr>
          <w:trHeight w:val="523"/>
          <w:jc w:val="center"/>
        </w:trPr>
        <w:tc>
          <w:tcPr>
            <w:tcW w:w="3686" w:type="dxa"/>
            <w:tcBorders>
              <w:top w:val="single" w:sz="4" w:space="0" w:color="auto"/>
              <w:left w:val="single" w:sz="4" w:space="0" w:color="auto"/>
              <w:bottom w:val="nil"/>
              <w:right w:val="single" w:sz="4" w:space="0" w:color="auto"/>
            </w:tcBorders>
            <w:vAlign w:val="center"/>
          </w:tcPr>
          <w:p w:rsidR="001013CE" w:rsidRPr="001013CE" w:rsidRDefault="001013CE" w:rsidP="001013CE">
            <w:pPr>
              <w:jc w:val="right"/>
              <w:rPr>
                <w:b/>
                <w:i/>
                <w:sz w:val="20"/>
                <w:szCs w:val="20"/>
                <w:lang w:val="en-GB" w:eastAsia="en-US"/>
              </w:rPr>
            </w:pPr>
            <w:r w:rsidRPr="001013CE">
              <w:rPr>
                <w:b/>
                <w:i/>
                <w:sz w:val="20"/>
                <w:szCs w:val="20"/>
                <w:lang w:val="en-GB" w:eastAsia="en-US"/>
              </w:rPr>
              <w:t>Value Added</w:t>
            </w:r>
          </w:p>
        </w:tc>
        <w:tc>
          <w:tcPr>
            <w:tcW w:w="1066" w:type="dxa"/>
            <w:tcBorders>
              <w:top w:val="single" w:sz="4" w:space="0" w:color="auto"/>
              <w:left w:val="single" w:sz="4" w:space="0" w:color="auto"/>
              <w:bottom w:val="nil"/>
              <w:right w:val="single" w:sz="4" w:space="0" w:color="auto"/>
            </w:tcBorders>
            <w:vAlign w:val="center"/>
          </w:tcPr>
          <w:p w:rsidR="001013CE" w:rsidRPr="001013CE" w:rsidRDefault="001013CE" w:rsidP="001013CE">
            <w:pPr>
              <w:jc w:val="center"/>
              <w:rPr>
                <w:sz w:val="20"/>
                <w:szCs w:val="20"/>
                <w:lang w:val="en-GB" w:eastAsia="en-US"/>
              </w:rPr>
            </w:pPr>
          </w:p>
        </w:tc>
        <w:tc>
          <w:tcPr>
            <w:tcW w:w="493" w:type="dxa"/>
            <w:tcBorders>
              <w:top w:val="single" w:sz="4" w:space="0" w:color="auto"/>
              <w:left w:val="single" w:sz="4" w:space="0" w:color="auto"/>
              <w:bottom w:val="nil"/>
              <w:right w:val="nil"/>
            </w:tcBorders>
          </w:tcPr>
          <w:p w:rsidR="001013CE" w:rsidRPr="001013CE" w:rsidRDefault="001013CE" w:rsidP="001013CE">
            <w:pPr>
              <w:jc w:val="center"/>
              <w:rPr>
                <w:sz w:val="20"/>
                <w:szCs w:val="20"/>
                <w:lang w:val="en-GB" w:eastAsia="en-US"/>
              </w:rPr>
            </w:pPr>
          </w:p>
        </w:tc>
        <w:tc>
          <w:tcPr>
            <w:tcW w:w="1066" w:type="dxa"/>
            <w:tcBorders>
              <w:top w:val="single" w:sz="4" w:space="0" w:color="auto"/>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0.5367*** (0.0528)</w:t>
            </w:r>
          </w:p>
        </w:tc>
        <w:tc>
          <w:tcPr>
            <w:tcW w:w="1084" w:type="dxa"/>
            <w:tcBorders>
              <w:top w:val="single" w:sz="4" w:space="0" w:color="auto"/>
              <w:left w:val="nil"/>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0.5195*** (0.0661)</w:t>
            </w:r>
          </w:p>
        </w:tc>
      </w:tr>
      <w:tr w:rsidR="001013CE" w:rsidRPr="001013CE" w:rsidTr="0043562D">
        <w:trPr>
          <w:trHeight w:val="523"/>
          <w:jc w:val="center"/>
        </w:trPr>
        <w:tc>
          <w:tcPr>
            <w:tcW w:w="3686" w:type="dxa"/>
            <w:tcBorders>
              <w:top w:val="nil"/>
              <w:left w:val="single" w:sz="4" w:space="0" w:color="auto"/>
              <w:bottom w:val="nil"/>
              <w:right w:val="single" w:sz="4" w:space="0" w:color="auto"/>
            </w:tcBorders>
            <w:vAlign w:val="center"/>
          </w:tcPr>
          <w:p w:rsidR="001013CE" w:rsidRPr="001013CE" w:rsidRDefault="001013CE" w:rsidP="001013CE">
            <w:pPr>
              <w:jc w:val="right"/>
              <w:rPr>
                <w:b/>
                <w:i/>
                <w:sz w:val="20"/>
                <w:szCs w:val="20"/>
                <w:lang w:val="en-GB" w:eastAsia="en-US"/>
              </w:rPr>
            </w:pPr>
            <w:r w:rsidRPr="001013CE">
              <w:rPr>
                <w:b/>
                <w:i/>
                <w:sz w:val="20"/>
                <w:szCs w:val="20"/>
                <w:lang w:val="en-GB" w:eastAsia="en-US"/>
              </w:rPr>
              <w:t>Capital</w:t>
            </w:r>
          </w:p>
        </w:tc>
        <w:tc>
          <w:tcPr>
            <w:tcW w:w="1066" w:type="dxa"/>
            <w:tcBorders>
              <w:top w:val="nil"/>
              <w:left w:val="single" w:sz="4" w:space="0" w:color="auto"/>
              <w:bottom w:val="nil"/>
              <w:right w:val="single" w:sz="4" w:space="0" w:color="auto"/>
            </w:tcBorders>
            <w:vAlign w:val="center"/>
          </w:tcPr>
          <w:p w:rsidR="001013CE" w:rsidRPr="001013CE" w:rsidRDefault="001013CE" w:rsidP="001013CE">
            <w:pPr>
              <w:jc w:val="center"/>
              <w:rPr>
                <w:sz w:val="20"/>
                <w:szCs w:val="20"/>
                <w:lang w:val="en-GB" w:eastAsia="en-US"/>
              </w:rPr>
            </w:pPr>
          </w:p>
        </w:tc>
        <w:tc>
          <w:tcPr>
            <w:tcW w:w="493" w:type="dxa"/>
            <w:tcBorders>
              <w:top w:val="nil"/>
              <w:left w:val="single" w:sz="4" w:space="0" w:color="auto"/>
              <w:bottom w:val="nil"/>
              <w:right w:val="nil"/>
            </w:tcBorders>
          </w:tcPr>
          <w:p w:rsidR="001013CE" w:rsidRPr="001013CE" w:rsidRDefault="001013CE" w:rsidP="001013CE">
            <w:pPr>
              <w:jc w:val="center"/>
              <w:rPr>
                <w:sz w:val="20"/>
                <w:szCs w:val="20"/>
                <w:lang w:val="en-GB" w:eastAsia="en-US"/>
              </w:rPr>
            </w:pP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p>
        </w:tc>
        <w:tc>
          <w:tcPr>
            <w:tcW w:w="1084" w:type="dxa"/>
            <w:tcBorders>
              <w:top w:val="nil"/>
              <w:left w:val="nil"/>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0.3120*** (0.0633)</w:t>
            </w:r>
          </w:p>
        </w:tc>
      </w:tr>
      <w:tr w:rsidR="001013CE" w:rsidRPr="001013CE" w:rsidTr="0043562D">
        <w:trPr>
          <w:trHeight w:val="511"/>
          <w:jc w:val="center"/>
        </w:trPr>
        <w:tc>
          <w:tcPr>
            <w:tcW w:w="3686" w:type="dxa"/>
            <w:tcBorders>
              <w:top w:val="nil"/>
              <w:left w:val="single" w:sz="4" w:space="0" w:color="auto"/>
              <w:bottom w:val="nil"/>
              <w:right w:val="single" w:sz="4" w:space="0" w:color="auto"/>
            </w:tcBorders>
            <w:vAlign w:val="center"/>
          </w:tcPr>
          <w:p w:rsidR="001013CE" w:rsidRPr="001013CE" w:rsidRDefault="001013CE" w:rsidP="001013CE">
            <w:pPr>
              <w:jc w:val="right"/>
              <w:rPr>
                <w:b/>
                <w:i/>
                <w:sz w:val="20"/>
                <w:szCs w:val="20"/>
                <w:lang w:val="en-GB" w:eastAsia="en-US"/>
              </w:rPr>
            </w:pPr>
            <w:r w:rsidRPr="001013CE">
              <w:rPr>
                <w:b/>
                <w:i/>
                <w:sz w:val="20"/>
                <w:szCs w:val="20"/>
                <w:lang w:val="en-GB" w:eastAsia="en-US"/>
              </w:rPr>
              <w:t>Workers</w:t>
            </w:r>
          </w:p>
        </w:tc>
        <w:tc>
          <w:tcPr>
            <w:tcW w:w="1066" w:type="dxa"/>
            <w:tcBorders>
              <w:top w:val="nil"/>
              <w:left w:val="single" w:sz="4" w:space="0" w:color="auto"/>
              <w:bottom w:val="nil"/>
              <w:right w:val="single" w:sz="4" w:space="0" w:color="auto"/>
            </w:tcBorders>
            <w:vAlign w:val="center"/>
          </w:tcPr>
          <w:p w:rsidR="001013CE" w:rsidRPr="001013CE" w:rsidRDefault="001013CE" w:rsidP="001013CE">
            <w:pPr>
              <w:jc w:val="center"/>
              <w:rPr>
                <w:sz w:val="20"/>
                <w:szCs w:val="20"/>
                <w:lang w:val="en-GB" w:eastAsia="en-US"/>
              </w:rPr>
            </w:pPr>
          </w:p>
        </w:tc>
        <w:tc>
          <w:tcPr>
            <w:tcW w:w="493" w:type="dxa"/>
            <w:tcBorders>
              <w:top w:val="nil"/>
              <w:left w:val="single" w:sz="4" w:space="0" w:color="auto"/>
              <w:bottom w:val="nil"/>
              <w:right w:val="nil"/>
            </w:tcBorders>
          </w:tcPr>
          <w:p w:rsidR="001013CE" w:rsidRPr="001013CE" w:rsidRDefault="001013CE" w:rsidP="001013CE">
            <w:pPr>
              <w:jc w:val="center"/>
              <w:rPr>
                <w:sz w:val="20"/>
                <w:szCs w:val="20"/>
                <w:lang w:val="en-GB" w:eastAsia="en-US"/>
              </w:rPr>
            </w:pP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p>
        </w:tc>
        <w:tc>
          <w:tcPr>
            <w:tcW w:w="1084" w:type="dxa"/>
            <w:tcBorders>
              <w:top w:val="nil"/>
              <w:left w:val="nil"/>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-0.0229* (0.0708)</w:t>
            </w:r>
          </w:p>
        </w:tc>
      </w:tr>
      <w:tr w:rsidR="001013CE" w:rsidRPr="001013CE" w:rsidTr="0043562D">
        <w:trPr>
          <w:trHeight w:val="185"/>
          <w:jc w:val="center"/>
        </w:trPr>
        <w:tc>
          <w:tcPr>
            <w:tcW w:w="3686" w:type="dxa"/>
            <w:tcBorders>
              <w:top w:val="nil"/>
              <w:left w:val="single" w:sz="4" w:space="0" w:color="auto"/>
              <w:bottom w:val="single" w:sz="4" w:space="0" w:color="auto"/>
              <w:right w:val="single" w:sz="4" w:space="0" w:color="auto"/>
            </w:tcBorders>
            <w:vAlign w:val="center"/>
          </w:tcPr>
          <w:p w:rsidR="001013CE" w:rsidRPr="001013CE" w:rsidRDefault="001013CE" w:rsidP="001013CE">
            <w:pPr>
              <w:rPr>
                <w:b/>
                <w:sz w:val="20"/>
                <w:szCs w:val="20"/>
                <w:lang w:val="en-GB" w:eastAsia="en-US"/>
              </w:rPr>
            </w:pPr>
            <w:r w:rsidRPr="001013CE">
              <w:rPr>
                <w:b/>
                <w:sz w:val="20"/>
                <w:szCs w:val="20"/>
                <w:lang w:val="en-GB" w:eastAsia="en-US"/>
              </w:rPr>
              <w:t>Fixed Effects</w:t>
            </w:r>
          </w:p>
        </w:tc>
        <w:tc>
          <w:tcPr>
            <w:tcW w:w="1066" w:type="dxa"/>
            <w:tcBorders>
              <w:top w:val="nil"/>
              <w:left w:val="single" w:sz="4" w:space="0" w:color="auto"/>
              <w:bottom w:val="single" w:sz="4" w:space="0" w:color="auto"/>
              <w:right w:val="single" w:sz="4" w:space="0" w:color="auto"/>
            </w:tcBorders>
            <w:vAlign w:val="center"/>
          </w:tcPr>
          <w:p w:rsidR="001013CE" w:rsidRPr="001013CE" w:rsidRDefault="001013CE" w:rsidP="001013CE">
            <w:pPr>
              <w:jc w:val="center"/>
              <w:rPr>
                <w:sz w:val="20"/>
                <w:szCs w:val="20"/>
                <w:lang w:val="en-GB" w:eastAsia="en-US"/>
              </w:rPr>
            </w:pPr>
          </w:p>
        </w:tc>
        <w:tc>
          <w:tcPr>
            <w:tcW w:w="493" w:type="dxa"/>
            <w:tcBorders>
              <w:top w:val="nil"/>
              <w:left w:val="single" w:sz="4" w:space="0" w:color="auto"/>
              <w:bottom w:val="single" w:sz="4" w:space="0" w:color="auto"/>
              <w:right w:val="nil"/>
            </w:tcBorders>
          </w:tcPr>
          <w:p w:rsidR="001013CE" w:rsidRPr="001013CE" w:rsidRDefault="001013CE" w:rsidP="001013CE">
            <w:pPr>
              <w:jc w:val="center"/>
              <w:rPr>
                <w:sz w:val="20"/>
                <w:szCs w:val="20"/>
                <w:lang w:val="en-GB" w:eastAsia="en-US"/>
              </w:rPr>
            </w:pP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084" w:type="dxa"/>
            <w:tcBorders>
              <w:top w:val="nil"/>
              <w:left w:val="nil"/>
              <w:bottom w:val="single" w:sz="4" w:space="0" w:color="auto"/>
              <w:right w:val="single" w:sz="4" w:space="0" w:color="auto"/>
            </w:tcBorders>
            <w:vAlign w:val="center"/>
          </w:tcPr>
          <w:p w:rsidR="001013CE" w:rsidRPr="001013CE" w:rsidRDefault="001013CE" w:rsidP="001013CE">
            <w:pPr>
              <w:jc w:val="center"/>
              <w:rPr>
                <w:sz w:val="20"/>
                <w:szCs w:val="20"/>
                <w:lang w:val="en-GB" w:eastAsia="en-US"/>
              </w:rPr>
            </w:pPr>
          </w:p>
        </w:tc>
      </w:tr>
      <w:tr w:rsidR="001013CE" w:rsidRPr="001013CE" w:rsidTr="0043562D">
        <w:trPr>
          <w:trHeight w:val="523"/>
          <w:jc w:val="center"/>
        </w:trPr>
        <w:tc>
          <w:tcPr>
            <w:tcW w:w="3686" w:type="dxa"/>
            <w:tcBorders>
              <w:top w:val="single" w:sz="4" w:space="0" w:color="auto"/>
              <w:left w:val="single" w:sz="4" w:space="0" w:color="auto"/>
              <w:bottom w:val="nil"/>
              <w:right w:val="single" w:sz="4" w:space="0" w:color="auto"/>
            </w:tcBorders>
            <w:vAlign w:val="center"/>
          </w:tcPr>
          <w:p w:rsidR="001013CE" w:rsidRPr="001013CE" w:rsidRDefault="001013CE" w:rsidP="001013CE">
            <w:pPr>
              <w:jc w:val="right"/>
              <w:rPr>
                <w:b/>
                <w:i/>
                <w:sz w:val="20"/>
                <w:szCs w:val="20"/>
                <w:lang w:val="en-GB" w:eastAsia="en-US"/>
              </w:rPr>
            </w:pPr>
            <w:r w:rsidRPr="001013CE">
              <w:rPr>
                <w:b/>
                <w:i/>
                <w:sz w:val="20"/>
                <w:szCs w:val="20"/>
                <w:lang w:val="en-GB" w:eastAsia="en-US"/>
              </w:rPr>
              <w:t>Regional</w:t>
            </w:r>
          </w:p>
        </w:tc>
        <w:tc>
          <w:tcPr>
            <w:tcW w:w="1066" w:type="dxa"/>
            <w:tcBorders>
              <w:top w:val="single" w:sz="4" w:space="0" w:color="auto"/>
              <w:left w:val="single" w:sz="4" w:space="0" w:color="auto"/>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Yes</w:t>
            </w:r>
          </w:p>
        </w:tc>
        <w:tc>
          <w:tcPr>
            <w:tcW w:w="493" w:type="dxa"/>
            <w:tcBorders>
              <w:top w:val="single" w:sz="4" w:space="0" w:color="auto"/>
              <w:left w:val="single" w:sz="4" w:space="0" w:color="auto"/>
              <w:bottom w:val="nil"/>
              <w:right w:val="nil"/>
            </w:tcBorders>
          </w:tcPr>
          <w:p w:rsidR="001013CE" w:rsidRPr="001013CE" w:rsidRDefault="001013CE" w:rsidP="001013CE">
            <w:pPr>
              <w:jc w:val="center"/>
              <w:rPr>
                <w:sz w:val="20"/>
                <w:szCs w:val="20"/>
                <w:lang w:val="en-GB" w:eastAsia="en-US"/>
              </w:rPr>
            </w:pPr>
          </w:p>
        </w:tc>
        <w:tc>
          <w:tcPr>
            <w:tcW w:w="1066" w:type="dxa"/>
            <w:tcBorders>
              <w:top w:val="single" w:sz="4" w:space="0" w:color="auto"/>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Yes</w:t>
            </w:r>
          </w:p>
        </w:tc>
        <w:tc>
          <w:tcPr>
            <w:tcW w:w="1084" w:type="dxa"/>
            <w:tcBorders>
              <w:top w:val="single" w:sz="4" w:space="0" w:color="auto"/>
              <w:left w:val="nil"/>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Yes</w:t>
            </w:r>
          </w:p>
        </w:tc>
      </w:tr>
      <w:tr w:rsidR="001013CE" w:rsidRPr="001013CE" w:rsidTr="0043562D">
        <w:trPr>
          <w:trHeight w:val="265"/>
          <w:jc w:val="center"/>
        </w:trPr>
        <w:tc>
          <w:tcPr>
            <w:tcW w:w="3686" w:type="dxa"/>
            <w:tcBorders>
              <w:top w:val="nil"/>
              <w:left w:val="single" w:sz="4" w:space="0" w:color="auto"/>
              <w:bottom w:val="single" w:sz="4" w:space="0" w:color="auto"/>
              <w:right w:val="single" w:sz="4" w:space="0" w:color="auto"/>
            </w:tcBorders>
            <w:vAlign w:val="center"/>
          </w:tcPr>
          <w:p w:rsidR="001013CE" w:rsidRPr="001013CE" w:rsidRDefault="001013CE" w:rsidP="001013CE">
            <w:pPr>
              <w:jc w:val="right"/>
              <w:rPr>
                <w:b/>
                <w:i/>
                <w:sz w:val="20"/>
                <w:szCs w:val="20"/>
                <w:lang w:val="en-GB" w:eastAsia="en-US"/>
              </w:rPr>
            </w:pPr>
            <w:r w:rsidRPr="001013CE">
              <w:rPr>
                <w:b/>
                <w:i/>
                <w:sz w:val="20"/>
                <w:szCs w:val="20"/>
                <w:lang w:val="en-GB" w:eastAsia="en-US"/>
              </w:rPr>
              <w:t>Year dummies</w:t>
            </w:r>
          </w:p>
        </w:tc>
        <w:tc>
          <w:tcPr>
            <w:tcW w:w="1066" w:type="dxa"/>
            <w:tcBorders>
              <w:top w:val="nil"/>
              <w:left w:val="single" w:sz="4" w:space="0" w:color="auto"/>
              <w:bottom w:val="single" w:sz="4" w:space="0" w:color="auto"/>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Yes</w:t>
            </w:r>
          </w:p>
        </w:tc>
        <w:tc>
          <w:tcPr>
            <w:tcW w:w="493" w:type="dxa"/>
            <w:tcBorders>
              <w:top w:val="nil"/>
              <w:left w:val="single" w:sz="4" w:space="0" w:color="auto"/>
              <w:bottom w:val="single" w:sz="4" w:space="0" w:color="auto"/>
              <w:right w:val="nil"/>
            </w:tcBorders>
          </w:tcPr>
          <w:p w:rsidR="001013CE" w:rsidRPr="001013CE" w:rsidRDefault="001013CE" w:rsidP="001013CE">
            <w:pPr>
              <w:jc w:val="center"/>
              <w:rPr>
                <w:sz w:val="20"/>
                <w:szCs w:val="20"/>
                <w:lang w:val="en-GB" w:eastAsia="en-US"/>
              </w:rPr>
            </w:pP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Yes</w:t>
            </w:r>
          </w:p>
        </w:tc>
        <w:tc>
          <w:tcPr>
            <w:tcW w:w="1084" w:type="dxa"/>
            <w:tcBorders>
              <w:top w:val="nil"/>
              <w:left w:val="nil"/>
              <w:bottom w:val="single" w:sz="4" w:space="0" w:color="auto"/>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Yes</w:t>
            </w:r>
          </w:p>
        </w:tc>
      </w:tr>
      <w:tr w:rsidR="001013CE" w:rsidRPr="001013CE" w:rsidTr="0043562D">
        <w:trPr>
          <w:trHeight w:val="523"/>
          <w:jc w:val="center"/>
        </w:trPr>
        <w:tc>
          <w:tcPr>
            <w:tcW w:w="3686" w:type="dxa"/>
            <w:tcBorders>
              <w:left w:val="single" w:sz="4" w:space="0" w:color="auto"/>
              <w:bottom w:val="nil"/>
              <w:right w:val="single" w:sz="4" w:space="0" w:color="auto"/>
            </w:tcBorders>
            <w:vAlign w:val="center"/>
          </w:tcPr>
          <w:p w:rsidR="001013CE" w:rsidRPr="001013CE" w:rsidRDefault="001013CE" w:rsidP="001013CE">
            <w:pPr>
              <w:rPr>
                <w:b/>
                <w:i/>
                <w:sz w:val="20"/>
                <w:szCs w:val="20"/>
                <w:lang w:val="en-GB" w:eastAsia="en-US"/>
              </w:rPr>
            </w:pPr>
            <w:r w:rsidRPr="001013CE">
              <w:rPr>
                <w:b/>
                <w:i/>
                <w:sz w:val="20"/>
                <w:szCs w:val="20"/>
                <w:lang w:val="en-GB" w:eastAsia="en-US"/>
              </w:rPr>
              <w:t>Moran I test</w:t>
            </w:r>
          </w:p>
          <w:p w:rsidR="001013CE" w:rsidRPr="001013CE" w:rsidRDefault="001013CE" w:rsidP="001013CE">
            <w:pPr>
              <w:rPr>
                <w:b/>
                <w:i/>
                <w:sz w:val="20"/>
                <w:szCs w:val="20"/>
                <w:lang w:val="en-GB" w:eastAsia="en-US"/>
              </w:rPr>
            </w:pPr>
            <w:r w:rsidRPr="001013CE">
              <w:rPr>
                <w:b/>
                <w:i/>
                <w:sz w:val="20"/>
                <w:szCs w:val="20"/>
                <w:lang w:val="en-GB" w:eastAsia="en-US"/>
              </w:rPr>
              <w:t xml:space="preserve">  p value</w:t>
            </w:r>
          </w:p>
        </w:tc>
        <w:tc>
          <w:tcPr>
            <w:tcW w:w="1066" w:type="dxa"/>
            <w:tcBorders>
              <w:left w:val="single" w:sz="4" w:space="0" w:color="auto"/>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0.388</w:t>
            </w:r>
          </w:p>
          <w:p w:rsidR="001013CE" w:rsidRPr="001013CE" w:rsidRDefault="001013CE" w:rsidP="001013CE">
            <w:pPr>
              <w:jc w:val="center"/>
              <w:rPr>
                <w:i/>
                <w:sz w:val="20"/>
                <w:szCs w:val="20"/>
                <w:lang w:val="en-GB" w:eastAsia="en-US"/>
              </w:rPr>
            </w:pPr>
            <w:r w:rsidRPr="001013CE">
              <w:rPr>
                <w:i/>
                <w:sz w:val="20"/>
                <w:szCs w:val="20"/>
                <w:lang w:val="en-GB" w:eastAsia="en-US"/>
              </w:rPr>
              <w:t>0.000</w:t>
            </w:r>
          </w:p>
        </w:tc>
        <w:tc>
          <w:tcPr>
            <w:tcW w:w="493" w:type="dxa"/>
            <w:tcBorders>
              <w:left w:val="single" w:sz="4" w:space="0" w:color="auto"/>
              <w:bottom w:val="nil"/>
              <w:right w:val="nil"/>
            </w:tcBorders>
          </w:tcPr>
          <w:p w:rsidR="001013CE" w:rsidRPr="001013CE" w:rsidRDefault="001013CE" w:rsidP="001013CE">
            <w:pPr>
              <w:jc w:val="center"/>
              <w:rPr>
                <w:bCs/>
                <w:sz w:val="20"/>
                <w:szCs w:val="20"/>
                <w:lang w:val="en-GB" w:eastAsia="en-US"/>
              </w:rPr>
            </w:pPr>
          </w:p>
        </w:tc>
        <w:tc>
          <w:tcPr>
            <w:tcW w:w="1066"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bCs/>
                <w:sz w:val="20"/>
                <w:szCs w:val="20"/>
                <w:lang w:val="en-GB" w:eastAsia="en-US"/>
              </w:rPr>
              <w:t>-0.033</w:t>
            </w:r>
          </w:p>
          <w:p w:rsidR="001013CE" w:rsidRPr="001013CE" w:rsidRDefault="001013CE" w:rsidP="001013CE">
            <w:pPr>
              <w:jc w:val="center"/>
              <w:rPr>
                <w:i/>
                <w:sz w:val="20"/>
                <w:szCs w:val="20"/>
                <w:lang w:val="en-GB" w:eastAsia="en-US"/>
              </w:rPr>
            </w:pPr>
            <w:r w:rsidRPr="001013CE">
              <w:rPr>
                <w:i/>
                <w:sz w:val="20"/>
                <w:szCs w:val="20"/>
                <w:lang w:val="en-GB" w:eastAsia="en-US"/>
              </w:rPr>
              <w:t>0.367</w:t>
            </w:r>
          </w:p>
        </w:tc>
        <w:tc>
          <w:tcPr>
            <w:tcW w:w="1084" w:type="dxa"/>
            <w:tcBorders>
              <w:left w:val="nil"/>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 xml:space="preserve">0.019   </w:t>
            </w:r>
            <w:r w:rsidRPr="001013CE">
              <w:rPr>
                <w:i/>
                <w:sz w:val="20"/>
                <w:szCs w:val="20"/>
                <w:lang w:val="en-GB" w:eastAsia="en-US"/>
              </w:rPr>
              <w:t>0.246</w:t>
            </w:r>
          </w:p>
        </w:tc>
      </w:tr>
      <w:tr w:rsidR="001013CE" w:rsidRPr="001013CE" w:rsidTr="0043562D">
        <w:trPr>
          <w:trHeight w:val="523"/>
          <w:jc w:val="center"/>
        </w:trPr>
        <w:tc>
          <w:tcPr>
            <w:tcW w:w="3686" w:type="dxa"/>
            <w:tcBorders>
              <w:top w:val="nil"/>
              <w:left w:val="single" w:sz="4" w:space="0" w:color="auto"/>
              <w:bottom w:val="single" w:sz="4" w:space="0" w:color="auto"/>
              <w:right w:val="single" w:sz="4" w:space="0" w:color="auto"/>
            </w:tcBorders>
            <w:vAlign w:val="center"/>
          </w:tcPr>
          <w:p w:rsidR="001013CE" w:rsidRPr="001013CE" w:rsidRDefault="001013CE" w:rsidP="001013CE">
            <w:pPr>
              <w:rPr>
                <w:b/>
                <w:i/>
                <w:sz w:val="20"/>
                <w:szCs w:val="20"/>
                <w:lang w:val="en-GB" w:eastAsia="en-US"/>
              </w:rPr>
            </w:pPr>
            <w:r w:rsidRPr="001013CE">
              <w:rPr>
                <w:b/>
                <w:i/>
                <w:sz w:val="20"/>
                <w:szCs w:val="20"/>
                <w:lang w:val="en-GB" w:eastAsia="en-US"/>
              </w:rPr>
              <w:t>Hausman Test</w:t>
            </w:r>
          </w:p>
          <w:p w:rsidR="001013CE" w:rsidRPr="001013CE" w:rsidRDefault="001013CE" w:rsidP="001013CE">
            <w:pPr>
              <w:rPr>
                <w:b/>
                <w:i/>
                <w:sz w:val="20"/>
                <w:szCs w:val="20"/>
                <w:lang w:val="en-GB" w:eastAsia="en-US"/>
              </w:rPr>
            </w:pPr>
            <w:r w:rsidRPr="001013CE">
              <w:rPr>
                <w:b/>
                <w:i/>
                <w:sz w:val="20"/>
                <w:szCs w:val="20"/>
                <w:lang w:val="en-GB" w:eastAsia="en-US"/>
              </w:rPr>
              <w:t xml:space="preserve">  p value</w:t>
            </w:r>
          </w:p>
        </w:tc>
        <w:tc>
          <w:tcPr>
            <w:tcW w:w="1066" w:type="dxa"/>
            <w:tcBorders>
              <w:top w:val="nil"/>
              <w:left w:val="single" w:sz="4" w:space="0" w:color="auto"/>
              <w:bottom w:val="single" w:sz="4" w:space="0" w:color="auto"/>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68.53</w:t>
            </w:r>
          </w:p>
          <w:p w:rsidR="001013CE" w:rsidRPr="001013CE" w:rsidRDefault="001013CE" w:rsidP="001013CE">
            <w:pPr>
              <w:jc w:val="center"/>
              <w:rPr>
                <w:i/>
                <w:sz w:val="20"/>
                <w:szCs w:val="20"/>
                <w:lang w:val="en-GB" w:eastAsia="en-US"/>
              </w:rPr>
            </w:pPr>
            <w:r w:rsidRPr="001013CE">
              <w:rPr>
                <w:i/>
                <w:sz w:val="20"/>
                <w:szCs w:val="20"/>
                <w:lang w:val="en-GB" w:eastAsia="en-US"/>
              </w:rPr>
              <w:t>0.000</w:t>
            </w:r>
          </w:p>
        </w:tc>
        <w:tc>
          <w:tcPr>
            <w:tcW w:w="493" w:type="dxa"/>
            <w:tcBorders>
              <w:top w:val="nil"/>
              <w:left w:val="single" w:sz="4" w:space="0" w:color="auto"/>
              <w:bottom w:val="single" w:sz="4" w:space="0" w:color="auto"/>
              <w:right w:val="nil"/>
            </w:tcBorders>
          </w:tcPr>
          <w:p w:rsidR="001013CE" w:rsidRPr="001013CE" w:rsidRDefault="001013CE" w:rsidP="001013CE">
            <w:pPr>
              <w:jc w:val="center"/>
              <w:rPr>
                <w:sz w:val="20"/>
                <w:szCs w:val="20"/>
                <w:lang w:val="en-GB" w:eastAsia="en-US"/>
              </w:rPr>
            </w:pP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 xml:space="preserve">13.56 </w:t>
            </w:r>
            <w:r w:rsidRPr="001013CE">
              <w:rPr>
                <w:i/>
                <w:sz w:val="20"/>
                <w:szCs w:val="20"/>
                <w:lang w:val="en-GB" w:eastAsia="en-US"/>
              </w:rPr>
              <w:t>0.003</w:t>
            </w:r>
          </w:p>
        </w:tc>
        <w:tc>
          <w:tcPr>
            <w:tcW w:w="1084" w:type="dxa"/>
            <w:tcBorders>
              <w:top w:val="nil"/>
              <w:left w:val="nil"/>
              <w:bottom w:val="single" w:sz="4" w:space="0" w:color="auto"/>
              <w:right w:val="single" w:sz="4" w:space="0" w:color="auto"/>
            </w:tcBorders>
            <w:vAlign w:val="center"/>
          </w:tcPr>
          <w:p w:rsidR="001013CE" w:rsidRPr="001013CE" w:rsidRDefault="001013CE" w:rsidP="001013CE">
            <w:pPr>
              <w:jc w:val="center"/>
              <w:rPr>
                <w:sz w:val="20"/>
                <w:szCs w:val="20"/>
                <w:lang w:val="en-GB" w:eastAsia="en-US"/>
              </w:rPr>
            </w:pPr>
            <w:r w:rsidRPr="001013CE">
              <w:rPr>
                <w:bCs/>
                <w:sz w:val="20"/>
                <w:szCs w:val="20"/>
                <w:lang w:val="en-GB" w:eastAsia="en-US"/>
              </w:rPr>
              <w:t>27.33</w:t>
            </w:r>
          </w:p>
          <w:p w:rsidR="001013CE" w:rsidRPr="001013CE" w:rsidRDefault="001013CE" w:rsidP="001013CE">
            <w:pPr>
              <w:jc w:val="center"/>
              <w:rPr>
                <w:i/>
                <w:sz w:val="20"/>
                <w:szCs w:val="20"/>
                <w:lang w:val="en-GB" w:eastAsia="en-US"/>
              </w:rPr>
            </w:pPr>
            <w:r w:rsidRPr="001013CE">
              <w:rPr>
                <w:bCs/>
                <w:i/>
                <w:sz w:val="20"/>
                <w:szCs w:val="20"/>
                <w:lang w:val="en-GB" w:eastAsia="en-US"/>
              </w:rPr>
              <w:t>0.073</w:t>
            </w:r>
          </w:p>
        </w:tc>
      </w:tr>
      <w:tr w:rsidR="001013CE" w:rsidRPr="001013CE" w:rsidTr="0043562D">
        <w:trPr>
          <w:trHeight w:val="306"/>
          <w:jc w:val="center"/>
        </w:trPr>
        <w:tc>
          <w:tcPr>
            <w:tcW w:w="3686" w:type="dxa"/>
            <w:tcBorders>
              <w:left w:val="single" w:sz="4" w:space="0" w:color="auto"/>
              <w:bottom w:val="nil"/>
              <w:right w:val="single" w:sz="4" w:space="0" w:color="auto"/>
            </w:tcBorders>
            <w:vAlign w:val="center"/>
          </w:tcPr>
          <w:p w:rsidR="001013CE" w:rsidRPr="001013CE" w:rsidRDefault="001013CE" w:rsidP="001013CE">
            <w:pPr>
              <w:rPr>
                <w:b/>
                <w:i/>
                <w:sz w:val="20"/>
                <w:szCs w:val="20"/>
                <w:vertAlign w:val="superscript"/>
                <w:lang w:val="en-GB" w:eastAsia="en-US"/>
              </w:rPr>
            </w:pPr>
            <w:r w:rsidRPr="001013CE">
              <w:rPr>
                <w:b/>
                <w:i/>
                <w:sz w:val="20"/>
                <w:szCs w:val="20"/>
                <w:lang w:val="en-GB" w:eastAsia="en-US"/>
              </w:rPr>
              <w:t>R</w:t>
            </w:r>
            <w:r w:rsidRPr="001013CE">
              <w:rPr>
                <w:b/>
                <w:i/>
                <w:sz w:val="20"/>
                <w:szCs w:val="20"/>
                <w:vertAlign w:val="superscript"/>
                <w:lang w:val="en-GB" w:eastAsia="en-US"/>
              </w:rPr>
              <w:t>2</w:t>
            </w:r>
          </w:p>
        </w:tc>
        <w:tc>
          <w:tcPr>
            <w:tcW w:w="1066" w:type="dxa"/>
            <w:tcBorders>
              <w:left w:val="single" w:sz="4" w:space="0" w:color="auto"/>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bCs/>
                <w:sz w:val="20"/>
                <w:szCs w:val="20"/>
                <w:lang w:val="en-GB" w:eastAsia="en-US"/>
              </w:rPr>
              <w:t>0.91</w:t>
            </w:r>
          </w:p>
        </w:tc>
        <w:tc>
          <w:tcPr>
            <w:tcW w:w="493" w:type="dxa"/>
            <w:tcBorders>
              <w:left w:val="single" w:sz="4" w:space="0" w:color="auto"/>
              <w:bottom w:val="nil"/>
              <w:right w:val="nil"/>
            </w:tcBorders>
          </w:tcPr>
          <w:p w:rsidR="001013CE" w:rsidRPr="001013CE" w:rsidRDefault="001013CE" w:rsidP="001013CE">
            <w:pPr>
              <w:jc w:val="center"/>
              <w:rPr>
                <w:sz w:val="20"/>
                <w:szCs w:val="20"/>
                <w:lang w:val="en-GB" w:eastAsia="en-US"/>
              </w:rPr>
            </w:pPr>
          </w:p>
        </w:tc>
        <w:tc>
          <w:tcPr>
            <w:tcW w:w="1066"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0.91</w:t>
            </w:r>
          </w:p>
        </w:tc>
        <w:tc>
          <w:tcPr>
            <w:tcW w:w="1084" w:type="dxa"/>
            <w:tcBorders>
              <w:left w:val="nil"/>
              <w:bottom w:val="nil"/>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0.92</w:t>
            </w:r>
          </w:p>
        </w:tc>
      </w:tr>
      <w:tr w:rsidR="001013CE" w:rsidRPr="001013CE" w:rsidTr="0043562D">
        <w:trPr>
          <w:trHeight w:val="302"/>
          <w:jc w:val="center"/>
        </w:trPr>
        <w:tc>
          <w:tcPr>
            <w:tcW w:w="3686" w:type="dxa"/>
            <w:tcBorders>
              <w:top w:val="nil"/>
              <w:left w:val="single" w:sz="4" w:space="0" w:color="auto"/>
              <w:bottom w:val="single" w:sz="4" w:space="0" w:color="auto"/>
              <w:right w:val="single" w:sz="4" w:space="0" w:color="auto"/>
            </w:tcBorders>
            <w:vAlign w:val="center"/>
          </w:tcPr>
          <w:p w:rsidR="001013CE" w:rsidRPr="001013CE" w:rsidRDefault="001013CE" w:rsidP="001013CE">
            <w:pPr>
              <w:rPr>
                <w:b/>
                <w:i/>
                <w:sz w:val="20"/>
                <w:szCs w:val="20"/>
                <w:lang w:val="en-GB" w:eastAsia="en-US"/>
              </w:rPr>
            </w:pPr>
            <w:r w:rsidRPr="001013CE">
              <w:rPr>
                <w:b/>
                <w:i/>
                <w:sz w:val="20"/>
                <w:szCs w:val="20"/>
                <w:lang w:val="en-GB" w:eastAsia="en-US"/>
              </w:rPr>
              <w:t>No. obs.</w:t>
            </w:r>
          </w:p>
        </w:tc>
        <w:tc>
          <w:tcPr>
            <w:tcW w:w="1066" w:type="dxa"/>
            <w:tcBorders>
              <w:top w:val="nil"/>
              <w:left w:val="single" w:sz="4" w:space="0" w:color="auto"/>
              <w:bottom w:val="single" w:sz="4" w:space="0" w:color="auto"/>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700</w:t>
            </w:r>
          </w:p>
        </w:tc>
        <w:tc>
          <w:tcPr>
            <w:tcW w:w="493" w:type="dxa"/>
            <w:tcBorders>
              <w:top w:val="nil"/>
              <w:left w:val="single" w:sz="4" w:space="0" w:color="auto"/>
              <w:bottom w:val="single" w:sz="4" w:space="0" w:color="auto"/>
              <w:right w:val="nil"/>
            </w:tcBorders>
          </w:tcPr>
          <w:p w:rsidR="001013CE" w:rsidRPr="001013CE" w:rsidRDefault="001013CE" w:rsidP="001013CE">
            <w:pPr>
              <w:jc w:val="center"/>
              <w:rPr>
                <w:sz w:val="20"/>
                <w:szCs w:val="20"/>
                <w:lang w:val="en-GB" w:eastAsia="en-US"/>
              </w:rPr>
            </w:pP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700</w:t>
            </w:r>
          </w:p>
        </w:tc>
        <w:tc>
          <w:tcPr>
            <w:tcW w:w="1084" w:type="dxa"/>
            <w:tcBorders>
              <w:top w:val="nil"/>
              <w:left w:val="nil"/>
              <w:bottom w:val="single" w:sz="4" w:space="0" w:color="auto"/>
              <w:right w:val="single" w:sz="4" w:space="0" w:color="auto"/>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700</w:t>
            </w:r>
          </w:p>
        </w:tc>
      </w:tr>
    </w:tbl>
    <w:p w:rsidR="001013CE" w:rsidRPr="001013CE" w:rsidRDefault="001013CE" w:rsidP="001013CE">
      <w:pPr>
        <w:spacing w:before="120" w:after="120" w:line="360" w:lineRule="auto"/>
        <w:ind w:firstLine="360"/>
        <w:jc w:val="center"/>
        <w:rPr>
          <w:rFonts w:eastAsia="Calibri"/>
          <w:color w:val="000000"/>
          <w:sz w:val="22"/>
          <w:szCs w:val="22"/>
          <w:lang w:val="en-GB" w:eastAsia="en-US"/>
        </w:rPr>
      </w:pPr>
      <w:r w:rsidRPr="001013CE">
        <w:rPr>
          <w:i/>
          <w:color w:val="000000"/>
          <w:sz w:val="20"/>
          <w:szCs w:val="20"/>
          <w:lang w:val="en-GB" w:eastAsia="en-US"/>
        </w:rPr>
        <w:t xml:space="preserve">Source: </w:t>
      </w:r>
      <w:r w:rsidRPr="001013CE">
        <w:rPr>
          <w:color w:val="000000"/>
          <w:sz w:val="20"/>
          <w:szCs w:val="20"/>
          <w:lang w:val="en-GB" w:eastAsia="en-US"/>
        </w:rPr>
        <w:t>Author’s estimations</w:t>
      </w:r>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color w:val="000000"/>
          <w:sz w:val="22"/>
          <w:szCs w:val="22"/>
          <w:lang w:val="en-GB" w:eastAsia="en-US"/>
        </w:rPr>
        <w:t xml:space="preserve">In all the cases, the estimated coefficients for the inputs –capital and labour– are similar. In the case of the 50 Provinces (1995-2008), the OLS regression (IV) reports similar coefficients, although slightly above, to those obtained in the analogous model for the AACC. The parameters estimated, both significant at 1% level, are 0.1307 for capital and 0.3305 for labour. Now, the SDM (V) is able to produce consistent estimates of the production function since the spatial lags of the independent variables are jointly significant. The coefficients of the inputs are 0.1383 for capital and 0.3465 for labour, only slightly higher than those estimated by the SAR model (II). Again, both are significant at 1% level. </w:t>
      </w:r>
      <w:r w:rsidRPr="001013CE">
        <w:rPr>
          <w:rFonts w:eastAsia="Calibri"/>
          <w:sz w:val="22"/>
          <w:szCs w:val="22"/>
          <w:lang w:val="en-GB" w:eastAsia="en-US"/>
        </w:rPr>
        <w:t xml:space="preserve">Moreover, the estimated parameter for the spatially lagged dependent variable in the SDM (V) is close (0.5195) to the one obtained for the AACC (0.5367) and significant at 1 % level. Moreover, the coefficient estimated for the spatially lagged capital is relatively high (0.3120) and significant at 1% level, which might explain the low contribution from the capital accumulated within the boundaries of the region. However, the estimated parameter for the spatial lag of labour is small (-0.0229) and significant only at 10% level. However, the term is maintained without affecting the rest of parameters, once checked that all the spatial lags of the independent variable are jointly significant. Its sign might indicate some negative relationship, although weakly significant, between the value added and employment in neighbouring regions. Lastly, </w:t>
      </w:r>
      <w:r w:rsidRPr="001013CE">
        <w:rPr>
          <w:rFonts w:eastAsia="Calibri"/>
          <w:color w:val="000000"/>
          <w:sz w:val="22"/>
          <w:szCs w:val="22"/>
          <w:lang w:val="en-GB" w:eastAsia="en-US"/>
        </w:rPr>
        <w:t>the R</w:t>
      </w:r>
      <w:r w:rsidRPr="001013CE">
        <w:rPr>
          <w:rFonts w:eastAsia="Calibri"/>
          <w:color w:val="000000"/>
          <w:sz w:val="22"/>
          <w:szCs w:val="22"/>
          <w:vertAlign w:val="superscript"/>
          <w:lang w:val="en-GB" w:eastAsia="en-US"/>
        </w:rPr>
        <w:t>2</w:t>
      </w:r>
      <w:r w:rsidRPr="001013CE">
        <w:rPr>
          <w:rFonts w:eastAsia="Calibri"/>
          <w:color w:val="000000"/>
          <w:sz w:val="22"/>
          <w:szCs w:val="22"/>
          <w:lang w:val="en-GB" w:eastAsia="en-US"/>
        </w:rPr>
        <w:t xml:space="preserve"> of the OLS regression (IV) is 0.91, while that of the SDM is 0.92.</w:t>
      </w:r>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lastRenderedPageBreak/>
        <w:t xml:space="preserve">In what respect to the presence of regional fixed effects, the results from the Hausman test support the previous assumption about the dynamics of the TFP. The Hausman test indicates that the fixed effects are significant in all the regressions. Overall, this result supports the interpretation of the TFP as a fixed component in the regressions. Finally, the Moran I test serves to check for the remaining presence of spatial autocorrelation in the fixed component of the residuals. In the case of the OLS regressions (I), the null of no spatial autocorrelation is always rejected. Therefore, the OLS estimators are not consistent. However, for the residuals from the Spatial Lag models (II and III) the null is not rejected, which implies that spatial autocorrelation is successfully removed from the TFP measure. As one can expect, the </w:t>
      </w:r>
      <w:r w:rsidRPr="001013CE">
        <w:rPr>
          <w:rFonts w:eastAsia="Calibri"/>
          <w:i/>
          <w:sz w:val="22"/>
          <w:szCs w:val="22"/>
          <w:lang w:val="en-GB" w:eastAsia="en-US"/>
        </w:rPr>
        <w:t>I</w:t>
      </w:r>
      <w:r w:rsidRPr="001013CE">
        <w:rPr>
          <w:rFonts w:eastAsia="Calibri"/>
          <w:sz w:val="22"/>
          <w:szCs w:val="22"/>
          <w:lang w:val="en-GB" w:eastAsia="en-US"/>
        </w:rPr>
        <w:t xml:space="preserve"> statistic is much higher at the NUTS3 level, suggesting that the presence of spatial autocorrelation increases as the scale of the sample decreases. </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Considering the results discussed above, the SDM produce the most consistent estimates of the production function. Because of the spatial interactions, it is possible to observe multiple changes in the spatial distribution of TFP in comparison to the index calculated excluding the spatial effects (section 4). In Figure 2 below, the map of Spain reports the quartile and quintile distribution of TFP levels for the NUTS3 regions. After taking into account the spatial effects, the map for the Spanish provinces is somewhat different with respect to the map in Figure 1. The distribution of similar values of TFP becomes more heterogeneous. Now, some of the Southern Provinces (Almeria, Cadiz, Malaga, Seville and Huelva) move to the highest quintile of the distribution. On the other hand, most elements in the bottom quintile (Badajoz, Caceres, Toledo, Avila, Soria and Cuenca) are now distributed across the middle part, close to the most efficient region (Madrid).</w:t>
      </w:r>
    </w:p>
    <w:p w:rsidR="001013CE" w:rsidRPr="001013CE" w:rsidRDefault="001013CE" w:rsidP="001013CE">
      <w:pPr>
        <w:keepNext/>
        <w:spacing w:before="120" w:after="120" w:line="360" w:lineRule="auto"/>
        <w:jc w:val="center"/>
        <w:rPr>
          <w:rFonts w:eastAsia="Calibri"/>
          <w:b/>
          <w:iCs/>
          <w:noProof/>
          <w:color w:val="000000"/>
          <w:sz w:val="20"/>
          <w:szCs w:val="20"/>
          <w:lang w:val="en-GB" w:eastAsia="en-US"/>
        </w:rPr>
      </w:pPr>
      <w:bookmarkStart w:id="16" w:name="_Toc447149165"/>
      <w:bookmarkStart w:id="17" w:name="_Toc448256180"/>
      <w:r w:rsidRPr="001013CE">
        <w:rPr>
          <w:rFonts w:eastAsia="Calibri"/>
          <w:b/>
          <w:iCs/>
          <w:color w:val="000000"/>
          <w:sz w:val="20"/>
          <w:szCs w:val="20"/>
          <w:lang w:val="en-GB" w:eastAsia="en-US"/>
        </w:rPr>
        <w:t>Figure 2.</w:t>
      </w:r>
      <w:r w:rsidRPr="001013CE">
        <w:rPr>
          <w:rFonts w:eastAsia="Calibri"/>
          <w:b/>
          <w:iCs/>
          <w:noProof/>
          <w:color w:val="000000"/>
          <w:sz w:val="20"/>
          <w:szCs w:val="20"/>
          <w:lang w:val="en-GB" w:eastAsia="en-US"/>
        </w:rPr>
        <w:t xml:space="preserve"> Regional distribution of TFP</w:t>
      </w:r>
      <w:bookmarkEnd w:id="16"/>
      <w:bookmarkEnd w:id="17"/>
      <w:r w:rsidRPr="001013CE">
        <w:rPr>
          <w:rFonts w:eastAsia="Calibri"/>
          <w:b/>
          <w:iCs/>
          <w:noProof/>
          <w:color w:val="000000"/>
          <w:sz w:val="20"/>
          <w:szCs w:val="20"/>
          <w:lang w:val="en-GB" w:eastAsia="en-US"/>
        </w:rPr>
        <w:t xml:space="preserve"> , NUTS3 1995-2008</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2"/>
      </w:tblGrid>
      <w:tr w:rsidR="001013CE" w:rsidRPr="001013CE" w:rsidTr="0043562D">
        <w:trPr>
          <w:trHeight w:val="3950"/>
          <w:jc w:val="center"/>
        </w:trPr>
        <w:tc>
          <w:tcPr>
            <w:tcW w:w="5648" w:type="dxa"/>
          </w:tcPr>
          <w:p w:rsidR="001013CE" w:rsidRPr="001013CE" w:rsidRDefault="001013CE" w:rsidP="001013CE">
            <w:pPr>
              <w:spacing w:before="120" w:after="120" w:line="360" w:lineRule="auto"/>
              <w:rPr>
                <w:color w:val="000000"/>
                <w:sz w:val="20"/>
                <w:szCs w:val="20"/>
                <w:lang w:val="en-GB" w:eastAsia="en-US"/>
              </w:rPr>
            </w:pPr>
            <w:r w:rsidRPr="001013CE">
              <w:rPr>
                <w:b/>
                <w:noProof/>
                <w:color w:val="000000"/>
                <w:sz w:val="20"/>
                <w:szCs w:val="20"/>
              </w:rPr>
              <w:drawing>
                <wp:inline distT="0" distB="0" distL="0" distR="0">
                  <wp:extent cx="3451860" cy="2857500"/>
                  <wp:effectExtent l="0" t="0" r="0" b="0"/>
                  <wp:docPr id="12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1860" cy="2857500"/>
                          </a:xfrm>
                          <a:prstGeom prst="rect">
                            <a:avLst/>
                          </a:prstGeom>
                          <a:noFill/>
                          <a:ln>
                            <a:noFill/>
                          </a:ln>
                        </pic:spPr>
                      </pic:pic>
                    </a:graphicData>
                  </a:graphic>
                </wp:inline>
              </w:drawing>
            </w:r>
          </w:p>
        </w:tc>
      </w:tr>
    </w:tbl>
    <w:p w:rsidR="001013CE" w:rsidRPr="001013CE" w:rsidRDefault="001013CE" w:rsidP="001013CE">
      <w:pPr>
        <w:spacing w:before="120" w:after="120" w:line="360" w:lineRule="auto"/>
        <w:jc w:val="center"/>
        <w:rPr>
          <w:color w:val="000000"/>
          <w:sz w:val="20"/>
          <w:szCs w:val="20"/>
          <w:lang w:val="en-GB" w:eastAsia="en-US"/>
        </w:rPr>
      </w:pPr>
      <w:r w:rsidRPr="001013CE">
        <w:rPr>
          <w:i/>
          <w:color w:val="000000"/>
          <w:sz w:val="20"/>
          <w:szCs w:val="20"/>
          <w:lang w:val="en-GB" w:eastAsia="en-US"/>
        </w:rPr>
        <w:t xml:space="preserve">Source: </w:t>
      </w:r>
      <w:r w:rsidRPr="001013CE">
        <w:rPr>
          <w:color w:val="000000"/>
          <w:sz w:val="20"/>
          <w:szCs w:val="20"/>
          <w:lang w:val="en-GB" w:eastAsia="en-US"/>
        </w:rPr>
        <w:t>Author’s estimations</w:t>
      </w:r>
    </w:p>
    <w:p w:rsidR="001013CE" w:rsidRPr="001013CE" w:rsidRDefault="001013CE" w:rsidP="001013CE">
      <w:pPr>
        <w:spacing w:before="120" w:after="120" w:line="360" w:lineRule="auto"/>
        <w:jc w:val="center"/>
        <w:rPr>
          <w:rFonts w:eastAsia="Calibri"/>
          <w:b/>
          <w:sz w:val="22"/>
          <w:lang w:val="en-GB" w:eastAsia="en-US"/>
        </w:rPr>
      </w:pPr>
    </w:p>
    <w:p w:rsidR="001013CE" w:rsidRPr="001013CE" w:rsidRDefault="001013CE" w:rsidP="001013CE">
      <w:pPr>
        <w:keepNext/>
        <w:keepLines/>
        <w:spacing w:before="120" w:after="120" w:line="360" w:lineRule="auto"/>
        <w:outlineLvl w:val="1"/>
        <w:rPr>
          <w:b/>
          <w:color w:val="000000"/>
          <w:szCs w:val="26"/>
          <w:lang w:val="en-GB" w:eastAsia="en-US"/>
        </w:rPr>
      </w:pPr>
      <w:r w:rsidRPr="001013CE">
        <w:rPr>
          <w:b/>
          <w:color w:val="000000"/>
          <w:szCs w:val="26"/>
          <w:lang w:val="en-GB" w:eastAsia="en-US"/>
        </w:rPr>
        <w:t xml:space="preserve">5.2 </w:t>
      </w:r>
      <w:bookmarkStart w:id="18" w:name="_Toc446283084"/>
      <w:bookmarkStart w:id="19" w:name="_Toc448256138"/>
      <w:r w:rsidRPr="001013CE">
        <w:rPr>
          <w:b/>
          <w:color w:val="000000"/>
          <w:szCs w:val="26"/>
          <w:lang w:val="en-GB" w:eastAsia="en-US"/>
        </w:rPr>
        <w:t>Geographical distribution and spatial analysis of the variables</w:t>
      </w:r>
      <w:bookmarkEnd w:id="18"/>
      <w:bookmarkEnd w:id="19"/>
    </w:p>
    <w:p w:rsidR="001013CE" w:rsidRPr="001013CE" w:rsidRDefault="001013CE" w:rsidP="001013CE">
      <w:pPr>
        <w:spacing w:before="120" w:after="120" w:line="360" w:lineRule="auto"/>
        <w:ind w:firstLine="360"/>
        <w:jc w:val="both"/>
        <w:rPr>
          <w:rFonts w:eastAsia="Calibri"/>
          <w:b/>
          <w:i/>
          <w:color w:val="000000"/>
          <w:sz w:val="22"/>
          <w:szCs w:val="22"/>
          <w:lang w:val="en-GB" w:eastAsia="en-US"/>
        </w:rPr>
      </w:pPr>
      <w:r w:rsidRPr="001013CE">
        <w:rPr>
          <w:rFonts w:eastAsia="Calibri"/>
          <w:sz w:val="22"/>
          <w:szCs w:val="22"/>
          <w:lang w:val="en-GB" w:eastAsia="en-US"/>
        </w:rPr>
        <w:t>In order to approach the question from a further level of detail, the analysis of TFP determinants is restricted to the smallest level of aggregation (NUTS3). Moreover, previous results indicate that spatial autocorrelation is clearly more significant at this level. The choice of variables is based on the literature reviewed in section 2. First, the source of the data on the total amount of human capital of the workforce for the period 1995-2007 is the Bancaja Foundation and the IVIE (2015). Then, human capital is expressed as the average per worker using the previously described labour series (section 4). The variable units are equivalent workers; the reference is a 20 years old employee without studies or only primary schooling. Besides, the number of patents produced in a year is used as a proxy for knowledge capital. The source of the number of patents per regions is Eurostat. Then, the stock of patents is constructed as the sum of the total patents in the previous five years and divided by the number of workers. Finally, data on the net stock of public capital in constant 2005 prices is found in the database of BBVA Foundation and IVIE (2015b). It is expressed as the ratio to the real stock of capital using data on productive capital (section 4). All the variables are converted to natural logs.</w:t>
      </w:r>
      <w:r w:rsidRPr="001013CE">
        <w:rPr>
          <w:rFonts w:eastAsia="Calibri"/>
          <w:b/>
          <w:i/>
          <w:color w:val="000000"/>
          <w:sz w:val="22"/>
          <w:szCs w:val="22"/>
          <w:lang w:val="en-GB" w:eastAsia="en-US"/>
        </w:rPr>
        <w:t xml:space="preserve"> </w:t>
      </w:r>
    </w:p>
    <w:p w:rsid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t xml:space="preserve">To investigate the presence of spatial dependence in the variables introduced as potential determinants of TFP, the first step is to represent the quintile distribution of the variables in the Spanish map (Figure 3). </w:t>
      </w:r>
    </w:p>
    <w:p w:rsidR="001013CE" w:rsidRPr="001013CE" w:rsidRDefault="001013CE" w:rsidP="001013CE">
      <w:pPr>
        <w:spacing w:before="120" w:after="120" w:line="360" w:lineRule="auto"/>
        <w:ind w:firstLine="360"/>
        <w:jc w:val="both"/>
        <w:rPr>
          <w:rFonts w:eastAsia="Calibri"/>
          <w:sz w:val="22"/>
          <w:szCs w:val="22"/>
          <w:lang w:val="en-GB" w:eastAsia="en-US"/>
        </w:rPr>
      </w:pPr>
    </w:p>
    <w:p w:rsidR="001013CE" w:rsidRPr="001013CE" w:rsidRDefault="001013CE" w:rsidP="001013CE">
      <w:pPr>
        <w:keepNext/>
        <w:spacing w:before="120" w:after="120" w:line="360" w:lineRule="auto"/>
        <w:jc w:val="center"/>
        <w:rPr>
          <w:rFonts w:eastAsia="Calibri"/>
          <w:b/>
          <w:iCs/>
          <w:color w:val="44546A"/>
          <w:sz w:val="20"/>
          <w:szCs w:val="20"/>
          <w:lang w:val="en-GB" w:eastAsia="en-US"/>
        </w:rPr>
      </w:pPr>
      <w:bookmarkStart w:id="20" w:name="_Toc448256181"/>
      <w:r w:rsidRPr="001013CE">
        <w:rPr>
          <w:rFonts w:eastAsia="Calibri"/>
          <w:b/>
          <w:iCs/>
          <w:color w:val="000000"/>
          <w:sz w:val="20"/>
          <w:szCs w:val="20"/>
          <w:lang w:val="en-GB" w:eastAsia="en-US"/>
        </w:rPr>
        <w:t>Figure 3. Distribution of human capital, knowledge capital and public capital, 2007.</w:t>
      </w:r>
      <w:bookmarkEnd w:id="20"/>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6"/>
        <w:gridCol w:w="4258"/>
      </w:tblGrid>
      <w:tr w:rsidR="001013CE" w:rsidRPr="001013CE" w:rsidTr="0043562D">
        <w:tc>
          <w:tcPr>
            <w:tcW w:w="4252" w:type="dxa"/>
          </w:tcPr>
          <w:p w:rsidR="001013CE" w:rsidRPr="001013CE" w:rsidRDefault="001013CE" w:rsidP="001013CE">
            <w:pPr>
              <w:jc w:val="center"/>
              <w:rPr>
                <w:b/>
                <w:sz w:val="20"/>
                <w:szCs w:val="20"/>
                <w:lang w:val="en-GB" w:eastAsia="en-US"/>
              </w:rPr>
            </w:pPr>
            <w:r w:rsidRPr="001013CE">
              <w:rPr>
                <w:b/>
                <w:sz w:val="20"/>
                <w:szCs w:val="20"/>
                <w:lang w:val="en-GB" w:eastAsia="en-US"/>
              </w:rPr>
              <w:t>Human capital</w:t>
            </w:r>
            <w:r w:rsidRPr="001013CE">
              <w:rPr>
                <w:b/>
                <w:noProof/>
                <w:sz w:val="20"/>
                <w:szCs w:val="20"/>
              </w:rPr>
              <w:drawing>
                <wp:inline distT="0" distB="0" distL="0" distR="0">
                  <wp:extent cx="2583180" cy="2232660"/>
                  <wp:effectExtent l="0" t="0" r="0" b="0"/>
                  <wp:docPr id="1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180" cy="2232660"/>
                          </a:xfrm>
                          <a:prstGeom prst="rect">
                            <a:avLst/>
                          </a:prstGeom>
                          <a:noFill/>
                          <a:ln>
                            <a:noFill/>
                          </a:ln>
                        </pic:spPr>
                      </pic:pic>
                    </a:graphicData>
                  </a:graphic>
                </wp:inline>
              </w:drawing>
            </w:r>
          </w:p>
        </w:tc>
        <w:tc>
          <w:tcPr>
            <w:tcW w:w="4252" w:type="dxa"/>
          </w:tcPr>
          <w:p w:rsidR="001013CE" w:rsidRPr="001013CE" w:rsidRDefault="001013CE" w:rsidP="001013CE">
            <w:pPr>
              <w:jc w:val="center"/>
              <w:rPr>
                <w:b/>
                <w:sz w:val="20"/>
                <w:szCs w:val="20"/>
                <w:lang w:val="en-GB" w:eastAsia="en-US"/>
              </w:rPr>
            </w:pPr>
            <w:r w:rsidRPr="001013CE">
              <w:rPr>
                <w:b/>
                <w:sz w:val="20"/>
                <w:szCs w:val="20"/>
                <w:lang w:val="en-GB" w:eastAsia="en-US"/>
              </w:rPr>
              <w:t>Knowledge capital</w:t>
            </w:r>
            <w:r w:rsidRPr="001013CE">
              <w:rPr>
                <w:b/>
                <w:noProof/>
                <w:sz w:val="20"/>
                <w:szCs w:val="20"/>
              </w:rPr>
              <w:drawing>
                <wp:inline distT="0" distB="0" distL="0" distR="0">
                  <wp:extent cx="2590800" cy="2247900"/>
                  <wp:effectExtent l="0" t="0" r="0" b="0"/>
                  <wp:docPr id="1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2247900"/>
                          </a:xfrm>
                          <a:prstGeom prst="rect">
                            <a:avLst/>
                          </a:prstGeom>
                          <a:noFill/>
                          <a:ln>
                            <a:noFill/>
                          </a:ln>
                        </pic:spPr>
                      </pic:pic>
                    </a:graphicData>
                  </a:graphic>
                </wp:inline>
              </w:drawing>
            </w:r>
          </w:p>
        </w:tc>
      </w:tr>
      <w:tr w:rsidR="001013CE" w:rsidRPr="001013CE" w:rsidTr="0043562D">
        <w:tc>
          <w:tcPr>
            <w:tcW w:w="8504" w:type="dxa"/>
            <w:gridSpan w:val="2"/>
          </w:tcPr>
          <w:p w:rsidR="001013CE" w:rsidRPr="001013CE" w:rsidRDefault="001013CE" w:rsidP="001013CE">
            <w:pPr>
              <w:jc w:val="center"/>
              <w:rPr>
                <w:b/>
                <w:sz w:val="20"/>
                <w:szCs w:val="20"/>
                <w:lang w:val="en-GB" w:eastAsia="en-US"/>
              </w:rPr>
            </w:pPr>
          </w:p>
        </w:tc>
      </w:tr>
      <w:tr w:rsidR="001013CE" w:rsidRPr="001013CE" w:rsidTr="0043562D">
        <w:tc>
          <w:tcPr>
            <w:tcW w:w="8504" w:type="dxa"/>
            <w:gridSpan w:val="2"/>
          </w:tcPr>
          <w:p w:rsidR="001013CE" w:rsidRPr="001013CE" w:rsidRDefault="001013CE" w:rsidP="001013CE">
            <w:pPr>
              <w:jc w:val="center"/>
              <w:rPr>
                <w:b/>
                <w:sz w:val="20"/>
                <w:szCs w:val="20"/>
                <w:lang w:val="en-GB" w:eastAsia="en-US"/>
              </w:rPr>
            </w:pPr>
            <w:r w:rsidRPr="001013CE">
              <w:rPr>
                <w:b/>
                <w:sz w:val="20"/>
                <w:szCs w:val="20"/>
                <w:lang w:val="en-GB" w:eastAsia="en-US"/>
              </w:rPr>
              <w:t>Public capital</w:t>
            </w:r>
          </w:p>
          <w:p w:rsidR="001013CE" w:rsidRPr="001013CE" w:rsidRDefault="001013CE" w:rsidP="001013CE">
            <w:pPr>
              <w:jc w:val="center"/>
              <w:rPr>
                <w:b/>
                <w:sz w:val="20"/>
                <w:szCs w:val="20"/>
                <w:lang w:val="en-GB" w:eastAsia="en-US"/>
              </w:rPr>
            </w:pPr>
            <w:r w:rsidRPr="001013CE">
              <w:rPr>
                <w:b/>
                <w:noProof/>
                <w:sz w:val="20"/>
                <w:szCs w:val="20"/>
              </w:rPr>
              <w:lastRenderedPageBreak/>
              <w:drawing>
                <wp:inline distT="0" distB="0" distL="0" distR="0">
                  <wp:extent cx="2567940" cy="2232660"/>
                  <wp:effectExtent l="0" t="0" r="0" b="0"/>
                  <wp:docPr id="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7940" cy="2232660"/>
                          </a:xfrm>
                          <a:prstGeom prst="rect">
                            <a:avLst/>
                          </a:prstGeom>
                          <a:noFill/>
                          <a:ln>
                            <a:noFill/>
                          </a:ln>
                        </pic:spPr>
                      </pic:pic>
                    </a:graphicData>
                  </a:graphic>
                </wp:inline>
              </w:drawing>
            </w:r>
          </w:p>
        </w:tc>
      </w:tr>
      <w:tr w:rsidR="001013CE" w:rsidRPr="001013CE" w:rsidTr="0043562D">
        <w:trPr>
          <w:trHeight w:val="190"/>
        </w:trPr>
        <w:tc>
          <w:tcPr>
            <w:tcW w:w="8504" w:type="dxa"/>
            <w:gridSpan w:val="2"/>
          </w:tcPr>
          <w:p w:rsidR="001013CE" w:rsidRPr="001013CE" w:rsidRDefault="001013CE" w:rsidP="001013CE">
            <w:pPr>
              <w:spacing w:before="120" w:after="120" w:line="360" w:lineRule="auto"/>
              <w:jc w:val="center"/>
              <w:rPr>
                <w:i/>
                <w:color w:val="000000"/>
                <w:sz w:val="20"/>
                <w:szCs w:val="20"/>
                <w:lang w:val="en-GB" w:eastAsia="en-US"/>
              </w:rPr>
            </w:pPr>
            <w:r w:rsidRPr="001013CE">
              <w:rPr>
                <w:i/>
                <w:color w:val="000000"/>
                <w:sz w:val="20"/>
                <w:szCs w:val="20"/>
                <w:lang w:val="en-GB" w:eastAsia="en-US"/>
              </w:rPr>
              <w:lastRenderedPageBreak/>
              <w:t>Sources</w:t>
            </w:r>
            <w:r w:rsidRPr="001013CE">
              <w:rPr>
                <w:color w:val="000000"/>
                <w:sz w:val="20"/>
                <w:szCs w:val="20"/>
                <w:lang w:val="en-GB" w:eastAsia="en-US"/>
              </w:rPr>
              <w:t>: IVIE, FBBVA, Eurostat and INE.</w:t>
            </w:r>
          </w:p>
        </w:tc>
      </w:tr>
    </w:tbl>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t xml:space="preserve">The distribution of human capital is heterogeneous, there are regions in the two highest quintiles dispersed across the area composed by Galicia, Asturias, Cantabria, Basque Country, Castile and León, Madrid, Castile - La Mancha and Andalusia, among others. Surprisingly, regions in the East, located in the AACC of Catalonia (Lleida and Gerona), Balearic Islands and Navarre present values of human capital per worker below the average. On the other hand, knowledge capital is distributed similarly to value added (section 4). Thus, the highest values are found in the Northern regions, mainly in those situated within the area formed by the Basque Country and Navarre; the coastal Catalonian regions (Gerona, Barcelona and Tarragona) and; the Centre (Madrid). Contrarily, low stocks of this variable are located in the West and Centre, particularly in the regions within Galicia, Castile and León, Extremadura, Castile – La Mancha and Andalusia. However, the distribution of the ratio of public capital to total capital stock presents a somewhat different pattern. Some of the best performing regions (located in the AACC of Madrid, Catalonia and the Basque Country), in terms of value added or productivity, have low values of public capital relative to the total, probably because much of the private stock of capital concentrates in these areas. This is not the case for the majority of regions, where high values are homogeneously distributed, explaining thus the high presence of regions in the top quintile, located around regions with low values of this variables. This is particularly noticeable in the case of Madrid (Centre). </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Formally testing for spatial dependence in the selected variables confirms the intuition extracted from the maps. The table 3 below reports the results from the Moran I test for knowledge capital, public capital and human capital. For the first two variables, the I statistics are 0.2940 and 0.1796, respectively. Both are significant at 1% level, indicating the presence of spatial autocorrelation. However, the test fails to reject the null in the case of human capital, although the I statistic (0.0415) is almost significant at the 10% level (p value is 0.1445). To summarize, the visual analysis of the maps and the Moran I test suggest that a spatial dependence pattern is clear in the case of knowledge capital and public capital, but is weak, if exists, for human capital.</w:t>
      </w:r>
    </w:p>
    <w:p w:rsidR="001013CE" w:rsidRPr="001013CE" w:rsidRDefault="001013CE" w:rsidP="001013CE">
      <w:pPr>
        <w:keepNext/>
        <w:spacing w:after="200"/>
        <w:jc w:val="center"/>
        <w:rPr>
          <w:rFonts w:eastAsia="Calibri"/>
          <w:i/>
          <w:iCs/>
          <w:color w:val="44546A"/>
          <w:sz w:val="20"/>
          <w:szCs w:val="20"/>
          <w:lang w:val="en-GB" w:eastAsia="en-US"/>
        </w:rPr>
      </w:pPr>
      <w:bookmarkStart w:id="21" w:name="_Toc448256209"/>
      <w:r w:rsidRPr="001013CE">
        <w:rPr>
          <w:rFonts w:eastAsia="Calibri"/>
          <w:b/>
          <w:iCs/>
          <w:color w:val="000000"/>
          <w:sz w:val="20"/>
          <w:szCs w:val="20"/>
          <w:lang w:val="en-GB" w:eastAsia="en-US"/>
        </w:rPr>
        <w:lastRenderedPageBreak/>
        <w:t>Table  3. Moran I test of human capital, public capital and knowledge capital</w:t>
      </w:r>
      <w:bookmarkEnd w:id="21"/>
    </w:p>
    <w:tbl>
      <w:tblPr>
        <w:tblW w:w="6669" w:type="dxa"/>
        <w:jc w:val="center"/>
        <w:tblLayout w:type="fixed"/>
        <w:tblCellMar>
          <w:left w:w="70" w:type="dxa"/>
          <w:right w:w="70" w:type="dxa"/>
        </w:tblCellMar>
        <w:tblLook w:val="04A0" w:firstRow="1" w:lastRow="0" w:firstColumn="1" w:lastColumn="0" w:noHBand="0" w:noVBand="1"/>
      </w:tblPr>
      <w:tblGrid>
        <w:gridCol w:w="2000"/>
        <w:gridCol w:w="979"/>
        <w:gridCol w:w="992"/>
        <w:gridCol w:w="993"/>
        <w:gridCol w:w="850"/>
        <w:gridCol w:w="855"/>
      </w:tblGrid>
      <w:tr w:rsidR="001013CE" w:rsidRPr="001013CE" w:rsidTr="0043562D">
        <w:trPr>
          <w:trHeight w:val="320"/>
          <w:jc w:val="center"/>
        </w:trPr>
        <w:tc>
          <w:tcPr>
            <w:tcW w:w="2000"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20"/>
                <w:szCs w:val="20"/>
                <w:lang w:val="en-US" w:eastAsia="en-US"/>
              </w:rPr>
            </w:pPr>
            <w:r w:rsidRPr="001013CE">
              <w:rPr>
                <w:b/>
                <w:bCs/>
                <w:color w:val="000000"/>
                <w:sz w:val="20"/>
                <w:szCs w:val="20"/>
                <w:lang w:val="en-US" w:eastAsia="en-US"/>
              </w:rPr>
              <w:t> </w:t>
            </w:r>
          </w:p>
        </w:tc>
        <w:tc>
          <w:tcPr>
            <w:tcW w:w="979"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20"/>
                <w:szCs w:val="20"/>
                <w:lang w:eastAsia="en-US"/>
              </w:rPr>
            </w:pPr>
            <w:r w:rsidRPr="001013CE">
              <w:rPr>
                <w:b/>
                <w:bCs/>
                <w:color w:val="000000"/>
                <w:sz w:val="20"/>
                <w:szCs w:val="20"/>
                <w:lang w:eastAsia="en-US"/>
              </w:rPr>
              <w:t>I</w:t>
            </w:r>
          </w:p>
        </w:tc>
        <w:tc>
          <w:tcPr>
            <w:tcW w:w="992"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20"/>
                <w:szCs w:val="20"/>
                <w:lang w:eastAsia="en-US"/>
              </w:rPr>
            </w:pPr>
            <w:r w:rsidRPr="001013CE">
              <w:rPr>
                <w:b/>
                <w:bCs/>
                <w:color w:val="000000"/>
                <w:sz w:val="20"/>
                <w:szCs w:val="20"/>
                <w:lang w:eastAsia="en-US"/>
              </w:rPr>
              <w:t>E(I)</w:t>
            </w:r>
          </w:p>
        </w:tc>
        <w:tc>
          <w:tcPr>
            <w:tcW w:w="993"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20"/>
                <w:szCs w:val="20"/>
                <w:lang w:eastAsia="en-US"/>
              </w:rPr>
            </w:pPr>
            <w:r w:rsidRPr="001013CE">
              <w:rPr>
                <w:b/>
                <w:bCs/>
                <w:color w:val="000000"/>
                <w:sz w:val="20"/>
                <w:szCs w:val="20"/>
                <w:lang w:eastAsia="en-US"/>
              </w:rPr>
              <w:t xml:space="preserve">SD(I) </w:t>
            </w:r>
          </w:p>
        </w:tc>
        <w:tc>
          <w:tcPr>
            <w:tcW w:w="850"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20"/>
                <w:szCs w:val="20"/>
                <w:lang w:eastAsia="en-US"/>
              </w:rPr>
            </w:pPr>
            <w:r w:rsidRPr="001013CE">
              <w:rPr>
                <w:b/>
                <w:bCs/>
                <w:color w:val="000000"/>
                <w:sz w:val="20"/>
                <w:szCs w:val="20"/>
                <w:lang w:eastAsia="en-US"/>
              </w:rPr>
              <w:t>z score</w:t>
            </w:r>
          </w:p>
        </w:tc>
        <w:tc>
          <w:tcPr>
            <w:tcW w:w="855"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20"/>
                <w:szCs w:val="20"/>
                <w:lang w:eastAsia="en-US"/>
              </w:rPr>
            </w:pPr>
            <w:r w:rsidRPr="001013CE">
              <w:rPr>
                <w:b/>
                <w:bCs/>
                <w:color w:val="000000"/>
                <w:sz w:val="20"/>
                <w:szCs w:val="20"/>
                <w:lang w:eastAsia="en-US"/>
              </w:rPr>
              <w:t>p-value</w:t>
            </w:r>
          </w:p>
        </w:tc>
      </w:tr>
      <w:tr w:rsidR="001013CE" w:rsidRPr="001013CE" w:rsidTr="0043562D">
        <w:trPr>
          <w:trHeight w:val="320"/>
          <w:jc w:val="center"/>
        </w:trPr>
        <w:tc>
          <w:tcPr>
            <w:tcW w:w="200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i/>
                <w:color w:val="000000"/>
                <w:sz w:val="20"/>
                <w:szCs w:val="20"/>
                <w:lang w:eastAsia="en-US"/>
              </w:rPr>
            </w:pPr>
            <w:r w:rsidRPr="001013CE">
              <w:rPr>
                <w:i/>
                <w:color w:val="000000"/>
                <w:sz w:val="20"/>
                <w:szCs w:val="20"/>
                <w:lang w:eastAsia="en-US"/>
              </w:rPr>
              <w:t>Human capital</w:t>
            </w:r>
          </w:p>
        </w:tc>
        <w:tc>
          <w:tcPr>
            <w:tcW w:w="97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0.0415</w:t>
            </w:r>
          </w:p>
        </w:tc>
        <w:tc>
          <w:tcPr>
            <w:tcW w:w="992"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-0.02</w:t>
            </w:r>
          </w:p>
        </w:tc>
        <w:tc>
          <w:tcPr>
            <w:tcW w:w="993"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0.058</w:t>
            </w:r>
          </w:p>
        </w:tc>
        <w:tc>
          <w:tcPr>
            <w:tcW w:w="85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1.0603</w:t>
            </w:r>
          </w:p>
        </w:tc>
        <w:tc>
          <w:tcPr>
            <w:tcW w:w="855"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0.1445</w:t>
            </w:r>
          </w:p>
        </w:tc>
      </w:tr>
      <w:tr w:rsidR="001013CE" w:rsidRPr="001013CE" w:rsidTr="0043562D">
        <w:trPr>
          <w:trHeight w:val="320"/>
          <w:jc w:val="center"/>
        </w:trPr>
        <w:tc>
          <w:tcPr>
            <w:tcW w:w="200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i/>
                <w:color w:val="000000"/>
                <w:sz w:val="20"/>
                <w:szCs w:val="20"/>
                <w:lang w:eastAsia="en-US"/>
              </w:rPr>
            </w:pPr>
            <w:r w:rsidRPr="001013CE">
              <w:rPr>
                <w:i/>
                <w:color w:val="000000"/>
                <w:sz w:val="20"/>
                <w:szCs w:val="20"/>
                <w:lang w:eastAsia="en-US"/>
              </w:rPr>
              <w:t>Patents</w:t>
            </w:r>
          </w:p>
        </w:tc>
        <w:tc>
          <w:tcPr>
            <w:tcW w:w="97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0.2940</w:t>
            </w:r>
          </w:p>
        </w:tc>
        <w:tc>
          <w:tcPr>
            <w:tcW w:w="992"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-0.02</w:t>
            </w:r>
          </w:p>
        </w:tc>
        <w:tc>
          <w:tcPr>
            <w:tcW w:w="993"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0.058</w:t>
            </w:r>
          </w:p>
        </w:tc>
        <w:tc>
          <w:tcPr>
            <w:tcW w:w="85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5.5100</w:t>
            </w:r>
          </w:p>
        </w:tc>
        <w:tc>
          <w:tcPr>
            <w:tcW w:w="855"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0.0000</w:t>
            </w:r>
          </w:p>
        </w:tc>
      </w:tr>
      <w:tr w:rsidR="001013CE" w:rsidRPr="001013CE" w:rsidTr="0043562D">
        <w:trPr>
          <w:trHeight w:val="320"/>
          <w:jc w:val="center"/>
        </w:trPr>
        <w:tc>
          <w:tcPr>
            <w:tcW w:w="2000"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i/>
                <w:color w:val="000000"/>
                <w:sz w:val="20"/>
                <w:szCs w:val="20"/>
                <w:lang w:eastAsia="en-US"/>
              </w:rPr>
            </w:pPr>
            <w:r w:rsidRPr="001013CE">
              <w:rPr>
                <w:i/>
                <w:color w:val="000000"/>
                <w:sz w:val="20"/>
                <w:szCs w:val="20"/>
                <w:lang w:eastAsia="en-US"/>
              </w:rPr>
              <w:t>Public capital</w:t>
            </w:r>
          </w:p>
        </w:tc>
        <w:tc>
          <w:tcPr>
            <w:tcW w:w="979"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0.1796</w:t>
            </w:r>
          </w:p>
        </w:tc>
        <w:tc>
          <w:tcPr>
            <w:tcW w:w="992"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-0.02</w:t>
            </w:r>
          </w:p>
        </w:tc>
        <w:tc>
          <w:tcPr>
            <w:tcW w:w="993"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0.058</w:t>
            </w:r>
          </w:p>
        </w:tc>
        <w:tc>
          <w:tcPr>
            <w:tcW w:w="850"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3.4421</w:t>
            </w:r>
          </w:p>
        </w:tc>
        <w:tc>
          <w:tcPr>
            <w:tcW w:w="855"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eastAsia="en-US"/>
              </w:rPr>
            </w:pPr>
            <w:r w:rsidRPr="001013CE">
              <w:rPr>
                <w:color w:val="000000"/>
                <w:sz w:val="20"/>
                <w:szCs w:val="20"/>
                <w:lang w:eastAsia="en-US"/>
              </w:rPr>
              <w:t>0.0002</w:t>
            </w:r>
          </w:p>
        </w:tc>
      </w:tr>
      <w:tr w:rsidR="001013CE" w:rsidRPr="001013CE" w:rsidTr="0043562D">
        <w:trPr>
          <w:trHeight w:val="656"/>
          <w:jc w:val="center"/>
        </w:trPr>
        <w:tc>
          <w:tcPr>
            <w:tcW w:w="6669" w:type="dxa"/>
            <w:gridSpan w:val="6"/>
            <w:tcBorders>
              <w:top w:val="nil"/>
              <w:left w:val="nil"/>
              <w:bottom w:val="nil"/>
              <w:right w:val="nil"/>
            </w:tcBorders>
            <w:shd w:val="clear" w:color="000000" w:fill="FFFFFF"/>
            <w:noWrap/>
            <w:hideMark/>
          </w:tcPr>
          <w:p w:rsidR="001013CE" w:rsidRPr="001013CE" w:rsidRDefault="001013CE" w:rsidP="001013CE">
            <w:pPr>
              <w:spacing w:after="160" w:line="259" w:lineRule="auto"/>
              <w:rPr>
                <w:color w:val="000000"/>
                <w:sz w:val="20"/>
                <w:szCs w:val="20"/>
                <w:lang w:val="en-US" w:eastAsia="en-US"/>
              </w:rPr>
            </w:pPr>
            <w:r w:rsidRPr="001013CE">
              <w:rPr>
                <w:i/>
                <w:color w:val="000000"/>
                <w:sz w:val="20"/>
                <w:szCs w:val="20"/>
                <w:lang w:val="en-US" w:eastAsia="en-US"/>
              </w:rPr>
              <w:t xml:space="preserve">Note: </w:t>
            </w:r>
            <w:r w:rsidRPr="001013CE">
              <w:rPr>
                <w:color w:val="000000"/>
                <w:sz w:val="20"/>
                <w:szCs w:val="20"/>
                <w:lang w:val="en-US" w:eastAsia="en-US"/>
              </w:rPr>
              <w:t xml:space="preserve">The variables are in per capita terms and transformed to natural logs. </w:t>
            </w:r>
          </w:p>
          <w:p w:rsidR="001013CE" w:rsidRPr="001013CE" w:rsidRDefault="001013CE" w:rsidP="001013CE">
            <w:pPr>
              <w:spacing w:after="160" w:line="259" w:lineRule="auto"/>
              <w:rPr>
                <w:i/>
                <w:color w:val="000000"/>
                <w:sz w:val="20"/>
                <w:szCs w:val="20"/>
                <w:lang w:val="en-US" w:eastAsia="en-US"/>
              </w:rPr>
            </w:pPr>
            <w:r w:rsidRPr="001013CE">
              <w:rPr>
                <w:color w:val="000000"/>
                <w:sz w:val="20"/>
                <w:szCs w:val="20"/>
                <w:lang w:val="en-US" w:eastAsia="en-US"/>
              </w:rPr>
              <w:t>The weights matrix used is row-standardized</w:t>
            </w:r>
            <w:r w:rsidRPr="001013CE">
              <w:rPr>
                <w:i/>
                <w:color w:val="000000"/>
                <w:sz w:val="20"/>
                <w:szCs w:val="20"/>
                <w:lang w:val="en-US" w:eastAsia="en-US"/>
              </w:rPr>
              <w:t>.</w:t>
            </w:r>
          </w:p>
          <w:p w:rsidR="001013CE" w:rsidRPr="001013CE" w:rsidRDefault="001013CE" w:rsidP="001013CE">
            <w:pPr>
              <w:spacing w:after="160" w:line="259" w:lineRule="auto"/>
              <w:rPr>
                <w:i/>
                <w:color w:val="000000"/>
                <w:sz w:val="20"/>
                <w:szCs w:val="20"/>
                <w:lang w:eastAsia="en-US"/>
              </w:rPr>
            </w:pPr>
            <w:r w:rsidRPr="001013CE">
              <w:rPr>
                <w:i/>
                <w:color w:val="000000"/>
                <w:sz w:val="20"/>
                <w:szCs w:val="20"/>
                <w:lang w:eastAsia="en-US"/>
              </w:rPr>
              <w:t xml:space="preserve">Source: </w:t>
            </w:r>
            <w:r w:rsidRPr="001013CE">
              <w:rPr>
                <w:color w:val="000000"/>
                <w:sz w:val="20"/>
                <w:szCs w:val="20"/>
                <w:lang w:eastAsia="en-US"/>
              </w:rPr>
              <w:t>Author’s estimations.</w:t>
            </w:r>
          </w:p>
        </w:tc>
      </w:tr>
    </w:tbl>
    <w:p w:rsidR="001013CE" w:rsidRPr="001013CE" w:rsidRDefault="001013CE" w:rsidP="001013CE">
      <w:pPr>
        <w:keepNext/>
        <w:keepLines/>
        <w:spacing w:before="120" w:after="120" w:line="360" w:lineRule="auto"/>
        <w:outlineLvl w:val="1"/>
        <w:rPr>
          <w:b/>
          <w:color w:val="000000"/>
          <w:szCs w:val="26"/>
          <w:lang w:val="en-GB" w:eastAsia="en-US"/>
        </w:rPr>
      </w:pPr>
      <w:bookmarkStart w:id="22" w:name="_Toc446283085"/>
      <w:r w:rsidRPr="001013CE">
        <w:rPr>
          <w:b/>
          <w:color w:val="000000"/>
          <w:szCs w:val="26"/>
          <w:lang w:val="en-GB" w:eastAsia="en-US"/>
        </w:rPr>
        <w:t xml:space="preserve"> </w:t>
      </w:r>
    </w:p>
    <w:bookmarkEnd w:id="22"/>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The departing point is the regression of TFP obtained in the previous sector, on two of the variables described above -human capital and knowledge capital- for the year 2007. Due to the fixed feature of the variable, the analysis of the determinants requires to change to a cross-section context. For this model, it is assumed that the spatial dependence is totally removed in the production function regression, so that there is no need for including spatial terms, which is limited by the small number of observations (50)</w:t>
      </w:r>
      <w:r w:rsidRPr="001013CE">
        <w:rPr>
          <w:rFonts w:eastAsia="Calibri"/>
          <w:sz w:val="22"/>
          <w:szCs w:val="22"/>
          <w:vertAlign w:val="superscript"/>
          <w:lang w:val="en-GB" w:eastAsia="en-US"/>
        </w:rPr>
        <w:footnoteReference w:id="18"/>
      </w:r>
      <w:r w:rsidRPr="001013CE">
        <w:rPr>
          <w:rFonts w:eastAsia="Calibri"/>
          <w:sz w:val="22"/>
          <w:szCs w:val="22"/>
          <w:lang w:val="en-GB" w:eastAsia="en-US"/>
        </w:rPr>
        <w:t xml:space="preserve">. For the same reason, public capital is excluded from the cross-section OLS regression. However, the problem with such model is that it does not enable to control for spatial effects, which exists accordingly to the Moran I test results. In order to be able to estimate Spatial Lag models, a panel data approach is adopted for the period 1995-2008. The dependent variable in the panel case is now the TFP index derived from equation 3. </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The empirical procedure for the panel data sample is outlined here. First, a fixed effects regression is run using human capital, knowledge capital and public capital as covariates for the period 1995-2008. Then, a SDM is estimated including spatial lags of the three forms of capital. However, the spatial lags of the independent variables are not jointly significant. Therefore, the term of the spatially lagged human capital is removed</w:t>
      </w:r>
      <w:r w:rsidRPr="001013CE">
        <w:rPr>
          <w:rFonts w:eastAsia="Calibri"/>
          <w:sz w:val="22"/>
          <w:szCs w:val="22"/>
          <w:vertAlign w:val="superscript"/>
          <w:lang w:val="en-GB" w:eastAsia="en-US"/>
        </w:rPr>
        <w:footnoteReference w:id="19"/>
      </w:r>
      <w:r w:rsidRPr="001013CE">
        <w:rPr>
          <w:rFonts w:eastAsia="Calibri"/>
          <w:sz w:val="22"/>
          <w:szCs w:val="22"/>
          <w:lang w:val="en-GB" w:eastAsia="en-US"/>
        </w:rPr>
        <w:t>. The resulting model is described by equation 10:</w:t>
      </w:r>
    </w:p>
    <w:p w:rsidR="001013CE" w:rsidRPr="001013CE" w:rsidRDefault="001013CE" w:rsidP="001013CE">
      <w:pPr>
        <w:spacing w:before="240" w:after="240" w:line="360" w:lineRule="auto"/>
        <w:jc w:val="right"/>
        <w:rPr>
          <w:i/>
          <w:iCs/>
          <w:color w:val="000000"/>
          <w:sz w:val="18"/>
          <w:szCs w:val="18"/>
          <w:lang w:val="en-GB" w:eastAsia="en-US"/>
        </w:rPr>
      </w:pPr>
      <m:oMath>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tfp</m:t>
            </m:r>
          </m:e>
          <m:sub>
            <m:r>
              <w:rPr>
                <w:rFonts w:ascii="Cambria Math" w:eastAsia="Calibri" w:hAnsi="Cambria Math"/>
                <w:color w:val="000000"/>
                <w:sz w:val="22"/>
                <w:lang w:val="en-GB" w:eastAsia="en-US"/>
              </w:rPr>
              <m:t>rt</m:t>
            </m:r>
          </m:sub>
        </m:sSub>
        <m:r>
          <w:rPr>
            <w:rFonts w:ascii="Cambria Math" w:eastAsia="Calibri" w:hAnsi="Cambria Math"/>
            <w:color w:val="000000"/>
            <w:sz w:val="22"/>
            <w:lang w:val="en-GB" w:eastAsia="en-US"/>
          </w:rPr>
          <m:t xml:space="preserve">= </m:t>
        </m:r>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α</m:t>
            </m:r>
          </m:e>
          <m:sub>
            <m:r>
              <w:rPr>
                <w:rFonts w:ascii="Cambria Math" w:eastAsia="Calibri" w:hAnsi="Cambria Math"/>
                <w:color w:val="000000"/>
                <w:sz w:val="22"/>
                <w:lang w:val="en-GB" w:eastAsia="en-US"/>
              </w:rPr>
              <m:t>r</m:t>
            </m:r>
          </m:sub>
        </m:sSub>
        <m:r>
          <w:rPr>
            <w:rFonts w:ascii="Cambria Math" w:eastAsia="Calibri" w:hAnsi="Cambria Math"/>
            <w:color w:val="000000"/>
            <w:sz w:val="22"/>
            <w:lang w:val="en-GB" w:eastAsia="en-US"/>
          </w:rPr>
          <m:t>+λW</m:t>
        </m:r>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tfp</m:t>
            </m:r>
          </m:e>
          <m:sub>
            <m:r>
              <w:rPr>
                <w:rFonts w:ascii="Cambria Math" w:eastAsia="Calibri" w:hAnsi="Cambria Math"/>
                <w:color w:val="000000"/>
                <w:sz w:val="22"/>
                <w:lang w:val="en-GB" w:eastAsia="en-US"/>
              </w:rPr>
              <m:t>rt</m:t>
            </m:r>
          </m:sub>
        </m:sSub>
        <m:r>
          <w:rPr>
            <w:rFonts w:ascii="Cambria Math" w:eastAsia="Calibri" w:hAnsi="Cambria Math"/>
            <w:color w:val="000000"/>
            <w:sz w:val="22"/>
            <w:lang w:val="en-GB" w:eastAsia="en-US"/>
          </w:rPr>
          <m:t>+</m:t>
        </m:r>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β</m:t>
            </m:r>
          </m:e>
          <m:sub>
            <m:r>
              <w:rPr>
                <w:rFonts w:ascii="Cambria Math" w:eastAsia="Calibri" w:hAnsi="Cambria Math"/>
                <w:color w:val="000000"/>
                <w:sz w:val="22"/>
                <w:lang w:val="en-GB" w:eastAsia="en-US"/>
              </w:rPr>
              <m:t>1</m:t>
            </m:r>
          </m:sub>
        </m:sSub>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hc</m:t>
            </m:r>
          </m:e>
          <m:sub>
            <m:r>
              <w:rPr>
                <w:rFonts w:ascii="Cambria Math" w:eastAsia="Calibri" w:hAnsi="Cambria Math"/>
                <w:color w:val="000000"/>
                <w:sz w:val="22"/>
                <w:lang w:val="en-GB" w:eastAsia="en-US"/>
              </w:rPr>
              <m:t>rt</m:t>
            </m:r>
          </m:sub>
        </m:sSub>
        <m:r>
          <w:rPr>
            <w:rFonts w:ascii="Cambria Math" w:eastAsia="Calibri" w:hAnsi="Cambria Math"/>
            <w:color w:val="000000"/>
            <w:sz w:val="22"/>
            <w:lang w:val="en-GB" w:eastAsia="en-US"/>
          </w:rPr>
          <m:t>+</m:t>
        </m:r>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β</m:t>
            </m:r>
          </m:e>
          <m:sub>
            <m:r>
              <w:rPr>
                <w:rFonts w:ascii="Cambria Math" w:eastAsia="Calibri" w:hAnsi="Cambria Math"/>
                <w:color w:val="000000"/>
                <w:sz w:val="22"/>
                <w:lang w:val="en-GB" w:eastAsia="en-US"/>
              </w:rPr>
              <m:t>2</m:t>
            </m:r>
          </m:sub>
        </m:sSub>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kc</m:t>
            </m:r>
          </m:e>
          <m:sub>
            <m:r>
              <w:rPr>
                <w:rFonts w:ascii="Cambria Math" w:eastAsia="Calibri" w:hAnsi="Cambria Math"/>
                <w:color w:val="000000"/>
                <w:sz w:val="22"/>
                <w:lang w:val="en-GB" w:eastAsia="en-US"/>
              </w:rPr>
              <m:t>rt</m:t>
            </m:r>
          </m:sub>
        </m:sSub>
        <m:r>
          <w:rPr>
            <w:rFonts w:ascii="Cambria Math" w:eastAsia="Calibri" w:hAnsi="Cambria Math"/>
            <w:color w:val="000000"/>
            <w:sz w:val="22"/>
            <w:lang w:val="en-GB" w:eastAsia="en-US"/>
          </w:rPr>
          <m:t>+</m:t>
        </m:r>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β</m:t>
            </m:r>
          </m:e>
          <m:sub>
            <m:r>
              <w:rPr>
                <w:rFonts w:ascii="Cambria Math" w:eastAsia="Calibri" w:hAnsi="Cambria Math"/>
                <w:color w:val="000000"/>
                <w:sz w:val="22"/>
                <w:lang w:val="en-GB" w:eastAsia="en-US"/>
              </w:rPr>
              <m:t>3</m:t>
            </m:r>
          </m:sub>
        </m:sSub>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pc</m:t>
            </m:r>
          </m:e>
          <m:sub>
            <m:r>
              <w:rPr>
                <w:rFonts w:ascii="Cambria Math" w:eastAsia="Calibri" w:hAnsi="Cambria Math"/>
                <w:color w:val="000000"/>
                <w:sz w:val="22"/>
                <w:lang w:val="en-GB" w:eastAsia="en-US"/>
              </w:rPr>
              <m:t>rt</m:t>
            </m:r>
          </m:sub>
        </m:sSub>
        <m:r>
          <w:rPr>
            <w:rFonts w:ascii="Cambria Math" w:eastAsia="Calibri" w:hAnsi="Cambria Math"/>
            <w:color w:val="000000"/>
            <w:sz w:val="22"/>
            <w:lang w:val="en-GB" w:eastAsia="en-US"/>
          </w:rPr>
          <m:t>+</m:t>
        </m:r>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γ</m:t>
            </m:r>
          </m:e>
          <m:sub>
            <m:r>
              <w:rPr>
                <w:rFonts w:ascii="Cambria Math" w:eastAsia="Calibri" w:hAnsi="Cambria Math"/>
                <w:color w:val="000000"/>
                <w:sz w:val="22"/>
                <w:lang w:val="en-GB" w:eastAsia="en-US"/>
              </w:rPr>
              <m:t>1</m:t>
            </m:r>
          </m:sub>
        </m:sSub>
        <m:r>
          <w:rPr>
            <w:rFonts w:ascii="Cambria Math" w:eastAsia="Calibri" w:hAnsi="Cambria Math"/>
            <w:color w:val="000000"/>
            <w:sz w:val="22"/>
            <w:lang w:val="en-GB" w:eastAsia="en-US"/>
          </w:rPr>
          <m:t>W</m:t>
        </m:r>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kc</m:t>
            </m:r>
          </m:e>
          <m:sub>
            <m:r>
              <w:rPr>
                <w:rFonts w:ascii="Cambria Math" w:eastAsia="Calibri" w:hAnsi="Cambria Math"/>
                <w:color w:val="000000"/>
                <w:sz w:val="22"/>
                <w:lang w:val="en-GB" w:eastAsia="en-US"/>
              </w:rPr>
              <m:t>rt</m:t>
            </m:r>
          </m:sub>
        </m:sSub>
        <m:r>
          <w:rPr>
            <w:rFonts w:ascii="Cambria Math" w:eastAsia="Calibri" w:hAnsi="Cambria Math"/>
            <w:color w:val="000000"/>
            <w:sz w:val="22"/>
            <w:lang w:val="en-GB" w:eastAsia="en-US"/>
          </w:rPr>
          <m:t>+</m:t>
        </m:r>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γ</m:t>
            </m:r>
          </m:e>
          <m:sub>
            <m:r>
              <w:rPr>
                <w:rFonts w:ascii="Cambria Math" w:eastAsia="Calibri" w:hAnsi="Cambria Math"/>
                <w:color w:val="000000"/>
                <w:sz w:val="22"/>
                <w:lang w:val="en-GB" w:eastAsia="en-US"/>
              </w:rPr>
              <m:t>2</m:t>
            </m:r>
          </m:sub>
        </m:sSub>
        <m:r>
          <w:rPr>
            <w:rFonts w:ascii="Cambria Math" w:eastAsia="Calibri" w:hAnsi="Cambria Math"/>
            <w:color w:val="000000"/>
            <w:sz w:val="22"/>
            <w:lang w:val="en-GB" w:eastAsia="en-US"/>
          </w:rPr>
          <m:t>W</m:t>
        </m:r>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pc</m:t>
            </m:r>
          </m:e>
          <m:sub>
            <m:r>
              <w:rPr>
                <w:rFonts w:ascii="Cambria Math" w:eastAsia="Calibri" w:hAnsi="Cambria Math"/>
                <w:color w:val="000000"/>
                <w:sz w:val="22"/>
                <w:lang w:val="en-GB" w:eastAsia="en-US"/>
              </w:rPr>
              <m:t>rt</m:t>
            </m:r>
          </m:sub>
        </m:sSub>
        <m:r>
          <w:rPr>
            <w:rFonts w:ascii="Cambria Math" w:eastAsia="Calibri" w:hAnsi="Cambria Math"/>
            <w:color w:val="000000"/>
            <w:sz w:val="22"/>
            <w:lang w:val="en-GB" w:eastAsia="en-US"/>
          </w:rPr>
          <m:t>+</m:t>
        </m:r>
        <m:sSub>
          <m:sSubPr>
            <m:ctrlPr>
              <w:rPr>
                <w:rFonts w:ascii="Cambria Math" w:eastAsia="Calibri" w:hAnsi="Cambria Math"/>
                <w:iCs/>
                <w:color w:val="000000"/>
                <w:sz w:val="22"/>
                <w:lang w:val="en-GB" w:eastAsia="en-US"/>
              </w:rPr>
            </m:ctrlPr>
          </m:sSubPr>
          <m:e>
            <m:r>
              <w:rPr>
                <w:rFonts w:ascii="Cambria Math" w:eastAsia="Calibri" w:hAnsi="Cambria Math"/>
                <w:color w:val="000000"/>
                <w:sz w:val="22"/>
                <w:lang w:val="en-GB" w:eastAsia="en-US"/>
              </w:rPr>
              <m:t>u</m:t>
            </m:r>
          </m:e>
          <m:sub>
            <m:r>
              <w:rPr>
                <w:rFonts w:ascii="Cambria Math" w:eastAsia="Calibri" w:hAnsi="Cambria Math"/>
                <w:color w:val="000000"/>
                <w:sz w:val="22"/>
                <w:lang w:val="en-GB" w:eastAsia="en-US"/>
              </w:rPr>
              <m:t>rt</m:t>
            </m:r>
          </m:sub>
        </m:sSub>
      </m:oMath>
      <w:r w:rsidRPr="001013CE">
        <w:rPr>
          <w:i/>
          <w:iCs/>
          <w:color w:val="000000"/>
          <w:lang w:val="en-GB" w:eastAsia="en-US"/>
        </w:rPr>
        <w:t xml:space="preserve">  </w:t>
      </w:r>
      <w:r w:rsidRPr="001013CE">
        <w:rPr>
          <w:i/>
          <w:iCs/>
          <w:color w:val="000000"/>
          <w:sz w:val="18"/>
          <w:szCs w:val="18"/>
          <w:lang w:val="en-GB" w:eastAsia="en-US"/>
        </w:rPr>
        <w:t xml:space="preserve"> </w:t>
      </w:r>
      <w:r w:rsidRPr="001013CE">
        <w:rPr>
          <w:rFonts w:eastAsia="Calibri"/>
          <w:iCs/>
          <w:color w:val="000000"/>
          <w:lang w:val="en-GB" w:eastAsia="en-US"/>
        </w:rPr>
        <w:t>(</w:t>
      </w:r>
      <w:r w:rsidRPr="001013CE">
        <w:rPr>
          <w:rFonts w:eastAsia="Calibri"/>
          <w:iCs/>
          <w:color w:val="000000"/>
          <w:lang w:val="en-GB" w:eastAsia="en-US"/>
        </w:rPr>
        <w:fldChar w:fldCharType="begin"/>
      </w:r>
      <w:r w:rsidRPr="001013CE">
        <w:rPr>
          <w:rFonts w:eastAsia="Calibri"/>
          <w:iCs/>
          <w:color w:val="000000"/>
          <w:lang w:val="en-GB" w:eastAsia="en-US"/>
        </w:rPr>
        <w:instrText xml:space="preserve"> SEQ ( \* ARABIC </w:instrText>
      </w:r>
      <w:r w:rsidRPr="001013CE">
        <w:rPr>
          <w:rFonts w:eastAsia="Calibri"/>
          <w:iCs/>
          <w:color w:val="000000"/>
          <w:lang w:val="en-GB" w:eastAsia="en-US"/>
        </w:rPr>
        <w:fldChar w:fldCharType="separate"/>
      </w:r>
      <w:r w:rsidRPr="001013CE">
        <w:rPr>
          <w:rFonts w:eastAsia="Calibri"/>
          <w:iCs/>
          <w:noProof/>
          <w:color w:val="000000"/>
          <w:lang w:val="en-GB" w:eastAsia="en-US"/>
        </w:rPr>
        <w:t>10</w:t>
      </w:r>
      <w:r w:rsidRPr="001013CE">
        <w:rPr>
          <w:rFonts w:eastAsia="Calibri"/>
          <w:iCs/>
          <w:color w:val="000000"/>
          <w:lang w:val="en-GB" w:eastAsia="en-US"/>
        </w:rPr>
        <w:fldChar w:fldCharType="end"/>
      </w:r>
      <w:r w:rsidRPr="001013CE">
        <w:rPr>
          <w:rFonts w:eastAsia="Calibri"/>
          <w:iCs/>
          <w:color w:val="000000"/>
          <w:lang w:val="en-GB" w:eastAsia="en-US"/>
        </w:rPr>
        <w:t>)</w:t>
      </w:r>
    </w:p>
    <w:p w:rsidR="001013CE" w:rsidRDefault="001013CE" w:rsidP="001013CE">
      <w:pPr>
        <w:spacing w:before="120" w:after="120" w:line="360" w:lineRule="auto"/>
        <w:ind w:firstLine="357"/>
        <w:jc w:val="both"/>
        <w:rPr>
          <w:rFonts w:eastAsia="Calibri"/>
          <w:b/>
          <w:i/>
          <w:color w:val="000000"/>
          <w:sz w:val="22"/>
          <w:szCs w:val="22"/>
          <w:lang w:val="en-GB" w:eastAsia="en-US"/>
        </w:rPr>
      </w:pPr>
      <w:r w:rsidRPr="001013CE">
        <w:rPr>
          <w:sz w:val="22"/>
          <w:szCs w:val="22"/>
          <w:lang w:val="en-GB" w:eastAsia="en-US"/>
        </w:rPr>
        <w:t xml:space="preserve">Where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tfp</m:t>
            </m:r>
          </m:e>
          <m:sub>
            <m:r>
              <w:rPr>
                <w:rFonts w:ascii="Cambria Math" w:eastAsia="Calibri" w:hAnsi="Cambria Math"/>
                <w:sz w:val="22"/>
                <w:szCs w:val="22"/>
                <w:lang w:val="en-GB" w:eastAsia="en-US"/>
              </w:rPr>
              <m:t>rt</m:t>
            </m:r>
          </m:sub>
        </m:sSub>
      </m:oMath>
      <w:r w:rsidRPr="001013CE">
        <w:rPr>
          <w:sz w:val="22"/>
          <w:szCs w:val="22"/>
          <w:lang w:val="en-GB" w:eastAsia="en-US"/>
        </w:rPr>
        <w:t xml:space="preserve"> reflects the TFP index (equation 3); </w:t>
      </w:r>
      <m:oMath>
        <m:r>
          <w:rPr>
            <w:rFonts w:ascii="Cambria Math" w:eastAsia="Calibri" w:hAnsi="Cambria Math"/>
            <w:sz w:val="22"/>
            <w:szCs w:val="22"/>
            <w:lang w:val="en-GB" w:eastAsia="en-US"/>
          </w:rPr>
          <m:t>W</m:t>
        </m:r>
      </m:oMath>
      <w:r w:rsidRPr="001013CE">
        <w:rPr>
          <w:sz w:val="22"/>
          <w:szCs w:val="22"/>
          <w:lang w:val="en-GB" w:eastAsia="en-US"/>
        </w:rPr>
        <w:t xml:space="preserve"> is the weights matrix described before and; the term </w:t>
      </w:r>
      <m:oMath>
        <m:r>
          <w:rPr>
            <w:rFonts w:ascii="Cambria Math" w:eastAsia="Calibri" w:hAnsi="Cambria Math"/>
            <w:sz w:val="22"/>
            <w:szCs w:val="22"/>
            <w:lang w:val="en-GB" w:eastAsia="en-US"/>
          </w:rPr>
          <m:t>W</m:t>
        </m:r>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tfp</m:t>
            </m:r>
          </m:e>
          <m:sub>
            <m:r>
              <w:rPr>
                <w:rFonts w:ascii="Cambria Math" w:eastAsia="Calibri" w:hAnsi="Cambria Math"/>
                <w:sz w:val="22"/>
                <w:szCs w:val="22"/>
                <w:lang w:val="en-GB" w:eastAsia="en-US"/>
              </w:rPr>
              <m:t>rt</m:t>
            </m:r>
          </m:sub>
        </m:sSub>
      </m:oMath>
      <w:r w:rsidRPr="001013CE">
        <w:rPr>
          <w:sz w:val="22"/>
          <w:szCs w:val="22"/>
          <w:lang w:val="en-GB" w:eastAsia="en-US"/>
        </w:rPr>
        <w:t xml:space="preserve"> is the spatially lagged dependent variable, included as proxy for the effects of productivity spillovers. The variable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hc</m:t>
            </m:r>
          </m:e>
          <m:sub>
            <m:r>
              <w:rPr>
                <w:rFonts w:ascii="Cambria Math" w:eastAsia="Calibri" w:hAnsi="Cambria Math"/>
                <w:sz w:val="22"/>
                <w:szCs w:val="22"/>
                <w:lang w:val="en-GB" w:eastAsia="en-US"/>
              </w:rPr>
              <m:t>rt</m:t>
            </m:r>
          </m:sub>
        </m:sSub>
      </m:oMath>
      <w:r w:rsidRPr="001013CE">
        <w:rPr>
          <w:sz w:val="22"/>
          <w:szCs w:val="22"/>
          <w:lang w:val="en-GB" w:eastAsia="en-US"/>
        </w:rPr>
        <w:t xml:space="preserve"> is human capital per worker, while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kc</m:t>
            </m:r>
          </m:e>
          <m:sub>
            <m:r>
              <w:rPr>
                <w:rFonts w:ascii="Cambria Math" w:eastAsia="Calibri" w:hAnsi="Cambria Math"/>
                <w:sz w:val="22"/>
                <w:szCs w:val="22"/>
                <w:lang w:val="en-GB" w:eastAsia="en-US"/>
              </w:rPr>
              <m:t>rt</m:t>
            </m:r>
          </m:sub>
        </m:sSub>
      </m:oMath>
      <w:r w:rsidRPr="001013CE">
        <w:rPr>
          <w:sz w:val="22"/>
          <w:szCs w:val="22"/>
          <w:lang w:val="en-GB" w:eastAsia="en-US"/>
        </w:rPr>
        <w:t xml:space="preserve"> is the knowledge capital stock and, </w:t>
      </w:r>
      <m:oMath>
        <m:sSub>
          <m:sSubPr>
            <m:ctrlPr>
              <w:rPr>
                <w:rFonts w:ascii="Cambria Math" w:eastAsia="Calibri" w:hAnsi="Cambria Math"/>
                <w:i/>
                <w:sz w:val="22"/>
                <w:szCs w:val="22"/>
                <w:lang w:val="en-GB" w:eastAsia="en-US"/>
              </w:rPr>
            </m:ctrlPr>
          </m:sSubPr>
          <m:e>
            <m:r>
              <w:rPr>
                <w:rFonts w:ascii="Cambria Math" w:eastAsia="Calibri" w:hAnsi="Cambria Math"/>
                <w:sz w:val="22"/>
                <w:szCs w:val="22"/>
                <w:lang w:val="en-GB" w:eastAsia="en-US"/>
              </w:rPr>
              <m:t>pc</m:t>
            </m:r>
          </m:e>
          <m:sub>
            <m:r>
              <w:rPr>
                <w:rFonts w:ascii="Cambria Math" w:eastAsia="Calibri" w:hAnsi="Cambria Math"/>
                <w:sz w:val="22"/>
                <w:szCs w:val="22"/>
                <w:lang w:val="en-GB" w:eastAsia="en-US"/>
              </w:rPr>
              <m:t>rt</m:t>
            </m:r>
          </m:sub>
        </m:sSub>
      </m:oMath>
      <w:r w:rsidRPr="001013CE">
        <w:rPr>
          <w:sz w:val="22"/>
          <w:szCs w:val="22"/>
          <w:lang w:val="en-GB" w:eastAsia="en-US"/>
        </w:rPr>
        <w:t xml:space="preserve"> the ratio of public capital over the total stock of capital in each region. To form the spatial lags of both variables, these are pre-multiplied by the matrix </w:t>
      </w:r>
      <m:oMath>
        <m:r>
          <w:rPr>
            <w:rFonts w:ascii="Cambria Math" w:eastAsia="Calibri" w:hAnsi="Cambria Math"/>
            <w:sz w:val="22"/>
            <w:szCs w:val="22"/>
            <w:lang w:val="en-GB" w:eastAsia="en-US"/>
          </w:rPr>
          <m:t>W</m:t>
        </m:r>
      </m:oMath>
      <w:r w:rsidRPr="001013CE">
        <w:rPr>
          <w:sz w:val="22"/>
          <w:szCs w:val="22"/>
          <w:lang w:val="en-GB" w:eastAsia="en-US"/>
        </w:rPr>
        <w:t xml:space="preserve">. All </w:t>
      </w:r>
      <w:r w:rsidRPr="001013CE">
        <w:rPr>
          <w:sz w:val="22"/>
          <w:szCs w:val="22"/>
          <w:lang w:val="en-GB" w:eastAsia="en-US"/>
        </w:rPr>
        <w:lastRenderedPageBreak/>
        <w:t>data is transformed to natural logs. Regional fixed effects and time dummies are included in all the models, assumptions supported by the results from the Hausman test and the joint significance test, respectively. Table 4 below reports the results from the analysis of TFP determinants.</w:t>
      </w:r>
      <w:bookmarkStart w:id="23" w:name="_Toc447149167"/>
      <w:r w:rsidRPr="001013CE">
        <w:rPr>
          <w:rFonts w:eastAsia="Calibri"/>
          <w:b/>
          <w:i/>
          <w:color w:val="000000"/>
          <w:sz w:val="22"/>
          <w:szCs w:val="22"/>
          <w:lang w:val="en-GB" w:eastAsia="en-US"/>
        </w:rPr>
        <w:t xml:space="preserve"> </w:t>
      </w:r>
      <w:bookmarkEnd w:id="23"/>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 xml:space="preserve">In column I above, the dependent variable of the regression is the residual from the production function estimated in section 5 based on the SDM of equation 7. The coefficients in the OLS regression for human capital and knowledge capital are 0.2894 and 0.3108, respectively. Only the second is significant at 1%. The </w:t>
      </w:r>
      <w:r w:rsidRPr="001013CE">
        <w:rPr>
          <w:rFonts w:eastAsia="Calibri"/>
          <w:i/>
          <w:sz w:val="22"/>
          <w:szCs w:val="22"/>
          <w:lang w:val="en-GB" w:eastAsia="en-US"/>
        </w:rPr>
        <w:t>R</w:t>
      </w:r>
      <w:r w:rsidRPr="001013CE">
        <w:rPr>
          <w:rFonts w:eastAsia="Calibri"/>
          <w:i/>
          <w:sz w:val="22"/>
          <w:szCs w:val="22"/>
          <w:vertAlign w:val="superscript"/>
          <w:lang w:val="en-GB" w:eastAsia="en-US"/>
        </w:rPr>
        <w:t>2</w:t>
      </w:r>
      <w:r w:rsidRPr="001013CE">
        <w:rPr>
          <w:rFonts w:eastAsia="Calibri"/>
          <w:sz w:val="22"/>
          <w:szCs w:val="22"/>
          <w:lang w:val="en-GB" w:eastAsia="en-US"/>
        </w:rPr>
        <w:t xml:space="preserve"> is only 0.12. The model is not able to explain most of the regional differences without including the spatial terms. Furthermore, the Moran I test indicates the residual presence of spatial dependence at 1% level of significance. The remaining columns correspond to the panel data regression. At the right hand, the TFP index derived from equation 3 is regressed on human capital, knowledge capital and public capital for a panel of Spanish regions during the period (1995-2008) without including spatial terms (II). All the covariates have an important impact and their coefficients are significant at 5% level. The major contribution is from public capital (0.3735). On the other hand, the coefficients of human capital and knowledge capital are 0.1213 and 0.1618, respectively. The I statistic obtained after applying the Moran I test on the residuals is 0.183, and the p value is 0.000. Thus, again there is presence of remaining spatial autocorrelation. Now, the </w:t>
      </w:r>
      <w:r w:rsidRPr="001013CE">
        <w:rPr>
          <w:rFonts w:eastAsia="Calibri"/>
          <w:i/>
          <w:sz w:val="22"/>
          <w:szCs w:val="22"/>
          <w:lang w:val="en-GB" w:eastAsia="en-US"/>
        </w:rPr>
        <w:t>R</w:t>
      </w:r>
      <w:r w:rsidRPr="001013CE">
        <w:rPr>
          <w:rFonts w:eastAsia="Calibri"/>
          <w:i/>
          <w:sz w:val="22"/>
          <w:szCs w:val="22"/>
          <w:vertAlign w:val="superscript"/>
          <w:lang w:val="en-GB" w:eastAsia="en-US"/>
        </w:rPr>
        <w:t>2</w:t>
      </w:r>
      <w:r w:rsidRPr="001013CE">
        <w:rPr>
          <w:rFonts w:eastAsia="Calibri"/>
          <w:sz w:val="22"/>
          <w:szCs w:val="22"/>
          <w:lang w:val="en-GB" w:eastAsia="en-US"/>
        </w:rPr>
        <w:t xml:space="preserve"> is more than double that obtained in the first regression 0.32.</w:t>
      </w:r>
    </w:p>
    <w:p w:rsidR="001013CE" w:rsidRPr="001013CE" w:rsidRDefault="001013CE" w:rsidP="001013CE">
      <w:pPr>
        <w:spacing w:before="120" w:after="120" w:line="360" w:lineRule="auto"/>
        <w:ind w:firstLine="357"/>
        <w:jc w:val="both"/>
        <w:rPr>
          <w:rFonts w:eastAsia="Calibri"/>
          <w:b/>
          <w:i/>
          <w:color w:val="000000"/>
          <w:sz w:val="22"/>
          <w:szCs w:val="22"/>
          <w:lang w:val="en-GB" w:eastAsia="en-US"/>
        </w:rPr>
      </w:pPr>
    </w:p>
    <w:p w:rsidR="001013CE" w:rsidRPr="001013CE" w:rsidRDefault="001013CE" w:rsidP="001013CE">
      <w:pPr>
        <w:spacing w:after="160" w:line="259" w:lineRule="auto"/>
        <w:jc w:val="center"/>
        <w:rPr>
          <w:rFonts w:eastAsia="Calibri"/>
          <w:b/>
          <w:iCs/>
          <w:color w:val="000000"/>
          <w:sz w:val="20"/>
          <w:szCs w:val="20"/>
          <w:lang w:val="en-GB" w:eastAsia="en-US"/>
        </w:rPr>
      </w:pPr>
      <w:r w:rsidRPr="001013CE">
        <w:rPr>
          <w:rFonts w:eastAsia="Calibri"/>
          <w:b/>
          <w:i/>
          <w:color w:val="000000"/>
          <w:sz w:val="22"/>
          <w:szCs w:val="22"/>
          <w:lang w:val="en-GB" w:eastAsia="en-US"/>
        </w:rPr>
        <w:br w:type="page"/>
      </w:r>
      <w:bookmarkStart w:id="24" w:name="_Toc448256210"/>
      <w:r w:rsidRPr="001013CE">
        <w:rPr>
          <w:rFonts w:eastAsia="Calibri"/>
          <w:b/>
          <w:iCs/>
          <w:color w:val="000000"/>
          <w:sz w:val="20"/>
          <w:szCs w:val="20"/>
          <w:lang w:val="en-GB" w:eastAsia="en-US"/>
        </w:rPr>
        <w:lastRenderedPageBreak/>
        <w:t xml:space="preserve">Table 4. Analysis of TFP determinants for the </w:t>
      </w:r>
      <w:bookmarkEnd w:id="24"/>
      <w:r w:rsidRPr="001013CE">
        <w:rPr>
          <w:rFonts w:eastAsia="Calibri"/>
          <w:b/>
          <w:iCs/>
          <w:color w:val="000000"/>
          <w:sz w:val="20"/>
          <w:szCs w:val="20"/>
          <w:lang w:val="en-GB" w:eastAsia="en-US"/>
        </w:rPr>
        <w:t>Spanish NUTS3 regions</w:t>
      </w:r>
    </w:p>
    <w:tbl>
      <w:tblPr>
        <w:tblStyle w:val="Tablaconcuadrcula"/>
        <w:tblW w:w="8641" w:type="dxa"/>
        <w:tblLook w:val="04A0" w:firstRow="1" w:lastRow="0" w:firstColumn="1" w:lastColumn="0" w:noHBand="0" w:noVBand="1"/>
      </w:tblPr>
      <w:tblGrid>
        <w:gridCol w:w="1626"/>
        <w:gridCol w:w="1383"/>
        <w:gridCol w:w="1073"/>
        <w:gridCol w:w="1148"/>
        <w:gridCol w:w="1184"/>
        <w:gridCol w:w="1073"/>
        <w:gridCol w:w="1154"/>
      </w:tblGrid>
      <w:tr w:rsidR="001013CE" w:rsidRPr="001013CE" w:rsidTr="0043562D">
        <w:trPr>
          <w:trHeight w:val="692"/>
        </w:trPr>
        <w:tc>
          <w:tcPr>
            <w:tcW w:w="0" w:type="auto"/>
            <w:tcBorders>
              <w:top w:val="single" w:sz="12" w:space="0" w:color="auto"/>
              <w:left w:val="nil"/>
              <w:bottom w:val="single" w:sz="4" w:space="0" w:color="auto"/>
              <w:right w:val="nil"/>
            </w:tcBorders>
            <w:vAlign w:val="center"/>
          </w:tcPr>
          <w:p w:rsidR="001013CE" w:rsidRPr="001013CE" w:rsidRDefault="001013CE" w:rsidP="001013CE">
            <w:pPr>
              <w:rPr>
                <w:b/>
                <w:sz w:val="20"/>
                <w:szCs w:val="20"/>
                <w:lang w:val="en-GB" w:eastAsia="en-US"/>
              </w:rPr>
            </w:pPr>
            <w:r w:rsidRPr="001013CE">
              <w:rPr>
                <w:b/>
                <w:sz w:val="20"/>
                <w:szCs w:val="20"/>
                <w:lang w:val="en-GB" w:eastAsia="en-US"/>
              </w:rPr>
              <w:t>Dependent variable</w:t>
            </w:r>
          </w:p>
        </w:tc>
        <w:tc>
          <w:tcPr>
            <w:tcW w:w="1383" w:type="dxa"/>
            <w:tcBorders>
              <w:top w:val="single" w:sz="12" w:space="0" w:color="auto"/>
              <w:left w:val="nil"/>
              <w:bottom w:val="single" w:sz="4" w:space="0" w:color="auto"/>
              <w:right w:val="nil"/>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Estimated TFP (2006)</w:t>
            </w:r>
          </w:p>
        </w:tc>
        <w:tc>
          <w:tcPr>
            <w:tcW w:w="5618" w:type="dxa"/>
            <w:gridSpan w:val="5"/>
            <w:tcBorders>
              <w:top w:val="single" w:sz="12" w:space="0" w:color="auto"/>
              <w:left w:val="nil"/>
              <w:bottom w:val="single" w:sz="4" w:space="0" w:color="auto"/>
              <w:right w:val="nil"/>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TFP index (1995-2008)</w:t>
            </w:r>
          </w:p>
        </w:tc>
      </w:tr>
      <w:tr w:rsidR="001013CE" w:rsidRPr="001013CE" w:rsidTr="0043562D">
        <w:trPr>
          <w:trHeight w:val="317"/>
        </w:trPr>
        <w:tc>
          <w:tcPr>
            <w:tcW w:w="0" w:type="auto"/>
            <w:tcBorders>
              <w:top w:val="single" w:sz="4" w:space="0" w:color="auto"/>
              <w:left w:val="nil"/>
              <w:bottom w:val="single" w:sz="4" w:space="0" w:color="auto"/>
              <w:right w:val="nil"/>
            </w:tcBorders>
            <w:vAlign w:val="center"/>
          </w:tcPr>
          <w:p w:rsidR="001013CE" w:rsidRPr="001013CE" w:rsidRDefault="001013CE" w:rsidP="001013CE">
            <w:pPr>
              <w:rPr>
                <w:b/>
                <w:sz w:val="20"/>
                <w:szCs w:val="20"/>
                <w:lang w:val="en-GB" w:eastAsia="en-US"/>
              </w:rPr>
            </w:pPr>
            <w:r w:rsidRPr="001013CE">
              <w:rPr>
                <w:b/>
                <w:sz w:val="20"/>
                <w:szCs w:val="20"/>
                <w:lang w:val="en-GB" w:eastAsia="en-US"/>
              </w:rPr>
              <w:t>Variables/Model</w:t>
            </w:r>
          </w:p>
        </w:tc>
        <w:tc>
          <w:tcPr>
            <w:tcW w:w="1383" w:type="dxa"/>
            <w:tcBorders>
              <w:top w:val="single" w:sz="4" w:space="0" w:color="auto"/>
              <w:left w:val="nil"/>
              <w:bottom w:val="single" w:sz="4" w:space="0" w:color="auto"/>
              <w:right w:val="nil"/>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(I) OLS</w:t>
            </w:r>
          </w:p>
        </w:tc>
        <w:tc>
          <w:tcPr>
            <w:tcW w:w="1066" w:type="dxa"/>
            <w:tcBorders>
              <w:top w:val="single" w:sz="4" w:space="0" w:color="auto"/>
              <w:left w:val="nil"/>
              <w:bottom w:val="single" w:sz="4" w:space="0" w:color="auto"/>
              <w:right w:val="nil"/>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(II) FE</w:t>
            </w:r>
          </w:p>
        </w:tc>
        <w:tc>
          <w:tcPr>
            <w:tcW w:w="1148" w:type="dxa"/>
            <w:tcBorders>
              <w:top w:val="single" w:sz="4" w:space="0" w:color="auto"/>
              <w:left w:val="nil"/>
              <w:bottom w:val="single" w:sz="4" w:space="0" w:color="auto"/>
              <w:right w:val="nil"/>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(III) SDM</w:t>
            </w:r>
          </w:p>
        </w:tc>
        <w:tc>
          <w:tcPr>
            <w:tcW w:w="1184" w:type="dxa"/>
            <w:tcBorders>
              <w:top w:val="single" w:sz="4" w:space="0" w:color="auto"/>
              <w:left w:val="nil"/>
              <w:bottom w:val="single" w:sz="4" w:space="0" w:color="auto"/>
              <w:right w:val="nil"/>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(IV) SDM</w:t>
            </w:r>
          </w:p>
        </w:tc>
        <w:tc>
          <w:tcPr>
            <w:tcW w:w="1066" w:type="dxa"/>
            <w:tcBorders>
              <w:top w:val="single" w:sz="4" w:space="0" w:color="auto"/>
              <w:left w:val="nil"/>
              <w:bottom w:val="single" w:sz="4" w:space="0" w:color="auto"/>
              <w:right w:val="nil"/>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(V) SDM</w:t>
            </w:r>
          </w:p>
        </w:tc>
        <w:tc>
          <w:tcPr>
            <w:tcW w:w="1154" w:type="dxa"/>
            <w:tcBorders>
              <w:top w:val="single" w:sz="4" w:space="0" w:color="auto"/>
              <w:left w:val="nil"/>
              <w:bottom w:val="single" w:sz="4" w:space="0" w:color="auto"/>
              <w:right w:val="nil"/>
            </w:tcBorders>
            <w:vAlign w:val="center"/>
          </w:tcPr>
          <w:p w:rsidR="001013CE" w:rsidRPr="001013CE" w:rsidRDefault="001013CE" w:rsidP="001013CE">
            <w:pPr>
              <w:jc w:val="center"/>
              <w:rPr>
                <w:b/>
                <w:sz w:val="20"/>
                <w:szCs w:val="20"/>
                <w:lang w:val="en-GB" w:eastAsia="en-US"/>
              </w:rPr>
            </w:pPr>
            <w:r w:rsidRPr="001013CE">
              <w:rPr>
                <w:b/>
                <w:sz w:val="20"/>
                <w:szCs w:val="20"/>
                <w:lang w:val="en-GB" w:eastAsia="en-US"/>
              </w:rPr>
              <w:t>(VI) SDM</w:t>
            </w:r>
          </w:p>
        </w:tc>
      </w:tr>
      <w:tr w:rsidR="001013CE" w:rsidRPr="001013CE" w:rsidTr="0043562D">
        <w:trPr>
          <w:trHeight w:val="567"/>
        </w:trPr>
        <w:tc>
          <w:tcPr>
            <w:tcW w:w="0" w:type="auto"/>
            <w:tcBorders>
              <w:top w:val="single" w:sz="4" w:space="0" w:color="auto"/>
              <w:left w:val="nil"/>
              <w:bottom w:val="nil"/>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Human capital</w:t>
            </w:r>
          </w:p>
        </w:tc>
        <w:tc>
          <w:tcPr>
            <w:tcW w:w="1383" w:type="dxa"/>
            <w:tcBorders>
              <w:top w:val="single" w:sz="4" w:space="0" w:color="auto"/>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0.2894</w:t>
            </w:r>
          </w:p>
          <w:p w:rsidR="001013CE" w:rsidRPr="001013CE" w:rsidRDefault="001013CE" w:rsidP="001013CE">
            <w:pPr>
              <w:jc w:val="center"/>
              <w:rPr>
                <w:sz w:val="20"/>
                <w:szCs w:val="20"/>
                <w:lang w:val="en-GB" w:eastAsia="en-US"/>
              </w:rPr>
            </w:pPr>
            <w:r w:rsidRPr="001013CE">
              <w:rPr>
                <w:sz w:val="20"/>
                <w:szCs w:val="20"/>
                <w:lang w:val="en-GB" w:eastAsia="en-US"/>
              </w:rPr>
              <w:t>(0.1985)</w:t>
            </w:r>
          </w:p>
        </w:tc>
        <w:tc>
          <w:tcPr>
            <w:tcW w:w="1066" w:type="dxa"/>
            <w:tcBorders>
              <w:top w:val="single" w:sz="4" w:space="0" w:color="auto"/>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0.1213***</w:t>
            </w:r>
          </w:p>
          <w:p w:rsidR="001013CE" w:rsidRPr="001013CE" w:rsidRDefault="001013CE" w:rsidP="001013CE">
            <w:pPr>
              <w:jc w:val="center"/>
              <w:rPr>
                <w:sz w:val="20"/>
                <w:szCs w:val="20"/>
                <w:lang w:val="en-GB" w:eastAsia="en-US"/>
              </w:rPr>
            </w:pPr>
            <w:r w:rsidRPr="001013CE">
              <w:rPr>
                <w:sz w:val="20"/>
                <w:szCs w:val="20"/>
                <w:lang w:val="en-GB" w:eastAsia="en-US"/>
              </w:rPr>
              <w:t>(0.0312)</w:t>
            </w:r>
          </w:p>
        </w:tc>
        <w:tc>
          <w:tcPr>
            <w:tcW w:w="1148" w:type="dxa"/>
            <w:tcBorders>
              <w:top w:val="single" w:sz="4" w:space="0" w:color="auto"/>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0.1256***</w:t>
            </w:r>
          </w:p>
          <w:p w:rsidR="001013CE" w:rsidRPr="001013CE" w:rsidRDefault="001013CE" w:rsidP="001013CE">
            <w:pPr>
              <w:jc w:val="center"/>
              <w:rPr>
                <w:sz w:val="20"/>
                <w:szCs w:val="20"/>
                <w:lang w:val="en-GB" w:eastAsia="en-US"/>
              </w:rPr>
            </w:pPr>
            <w:r w:rsidRPr="001013CE">
              <w:rPr>
                <w:sz w:val="20"/>
                <w:szCs w:val="20"/>
                <w:lang w:val="en-GB" w:eastAsia="en-US"/>
              </w:rPr>
              <w:t>(0.0298)</w:t>
            </w:r>
          </w:p>
        </w:tc>
        <w:tc>
          <w:tcPr>
            <w:tcW w:w="1184" w:type="dxa"/>
            <w:tcBorders>
              <w:top w:val="single" w:sz="4" w:space="0" w:color="auto"/>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0.1231***</w:t>
            </w:r>
          </w:p>
          <w:p w:rsidR="001013CE" w:rsidRPr="001013CE" w:rsidRDefault="001013CE" w:rsidP="001013CE">
            <w:pPr>
              <w:jc w:val="center"/>
              <w:rPr>
                <w:sz w:val="20"/>
                <w:szCs w:val="20"/>
                <w:lang w:val="en-GB" w:eastAsia="en-US"/>
              </w:rPr>
            </w:pPr>
            <w:r w:rsidRPr="001013CE">
              <w:rPr>
                <w:sz w:val="20"/>
                <w:szCs w:val="20"/>
                <w:lang w:val="en-GB" w:eastAsia="en-US"/>
              </w:rPr>
              <w:t>(0.0299)</w:t>
            </w:r>
          </w:p>
        </w:tc>
        <w:tc>
          <w:tcPr>
            <w:tcW w:w="1066" w:type="dxa"/>
            <w:tcBorders>
              <w:top w:val="single" w:sz="4" w:space="0" w:color="auto"/>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0.0942***</w:t>
            </w:r>
          </w:p>
          <w:p w:rsidR="001013CE" w:rsidRPr="001013CE" w:rsidRDefault="001013CE" w:rsidP="001013CE">
            <w:pPr>
              <w:jc w:val="center"/>
              <w:rPr>
                <w:sz w:val="20"/>
                <w:szCs w:val="20"/>
                <w:lang w:val="en-GB" w:eastAsia="en-US"/>
              </w:rPr>
            </w:pPr>
            <w:r w:rsidRPr="001013CE">
              <w:rPr>
                <w:sz w:val="20"/>
                <w:szCs w:val="20"/>
                <w:lang w:val="en-GB" w:eastAsia="en-US"/>
              </w:rPr>
              <w:t>(0.0309)</w:t>
            </w:r>
          </w:p>
        </w:tc>
        <w:tc>
          <w:tcPr>
            <w:tcW w:w="1154" w:type="dxa"/>
            <w:tcBorders>
              <w:top w:val="single" w:sz="4" w:space="0" w:color="auto"/>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0.1321***</w:t>
            </w:r>
          </w:p>
          <w:p w:rsidR="001013CE" w:rsidRPr="001013CE" w:rsidRDefault="001013CE" w:rsidP="001013CE">
            <w:pPr>
              <w:jc w:val="center"/>
              <w:rPr>
                <w:sz w:val="20"/>
                <w:szCs w:val="20"/>
                <w:lang w:val="en-GB" w:eastAsia="en-US"/>
              </w:rPr>
            </w:pPr>
            <w:r w:rsidRPr="001013CE">
              <w:rPr>
                <w:sz w:val="20"/>
                <w:szCs w:val="20"/>
                <w:lang w:val="en-GB" w:eastAsia="en-US"/>
              </w:rPr>
              <w:t>(0.0285)</w:t>
            </w:r>
          </w:p>
        </w:tc>
      </w:tr>
      <w:tr w:rsidR="001013CE" w:rsidRPr="001013CE" w:rsidTr="0043562D">
        <w:trPr>
          <w:trHeight w:val="721"/>
        </w:trPr>
        <w:tc>
          <w:tcPr>
            <w:tcW w:w="0" w:type="auto"/>
            <w:tcBorders>
              <w:top w:val="nil"/>
              <w:left w:val="nil"/>
              <w:bottom w:val="nil"/>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Knowledge capital</w:t>
            </w:r>
          </w:p>
        </w:tc>
        <w:tc>
          <w:tcPr>
            <w:tcW w:w="1383"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0.3108 ***</w:t>
            </w:r>
          </w:p>
          <w:p w:rsidR="001013CE" w:rsidRPr="001013CE" w:rsidRDefault="001013CE" w:rsidP="001013CE">
            <w:pPr>
              <w:jc w:val="center"/>
              <w:rPr>
                <w:sz w:val="20"/>
                <w:szCs w:val="20"/>
                <w:lang w:val="en-GB" w:eastAsia="en-US"/>
              </w:rPr>
            </w:pPr>
            <w:r w:rsidRPr="001013CE">
              <w:rPr>
                <w:sz w:val="20"/>
                <w:szCs w:val="20"/>
                <w:lang w:val="en-GB" w:eastAsia="en-US"/>
              </w:rPr>
              <w:t>(0.1082)</w:t>
            </w: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0.1618***</w:t>
            </w:r>
          </w:p>
          <w:p w:rsidR="001013CE" w:rsidRPr="001013CE" w:rsidRDefault="001013CE" w:rsidP="001013CE">
            <w:pPr>
              <w:jc w:val="center"/>
              <w:rPr>
                <w:sz w:val="20"/>
                <w:szCs w:val="20"/>
                <w:lang w:val="en-GB" w:eastAsia="en-US"/>
              </w:rPr>
            </w:pPr>
            <w:r w:rsidRPr="001013CE">
              <w:rPr>
                <w:sz w:val="20"/>
                <w:szCs w:val="20"/>
                <w:lang w:val="en-GB" w:eastAsia="en-US"/>
              </w:rPr>
              <w:t>(0.0474)</w:t>
            </w:r>
          </w:p>
        </w:tc>
        <w:tc>
          <w:tcPr>
            <w:tcW w:w="1148"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0.1029**</w:t>
            </w:r>
          </w:p>
          <w:p w:rsidR="001013CE" w:rsidRPr="001013CE" w:rsidRDefault="001013CE" w:rsidP="001013CE">
            <w:pPr>
              <w:jc w:val="center"/>
              <w:rPr>
                <w:sz w:val="20"/>
                <w:szCs w:val="20"/>
                <w:lang w:val="en-GB" w:eastAsia="en-US"/>
              </w:rPr>
            </w:pPr>
            <w:r w:rsidRPr="001013CE">
              <w:rPr>
                <w:sz w:val="20"/>
                <w:szCs w:val="20"/>
                <w:lang w:val="en-GB" w:eastAsia="en-US"/>
              </w:rPr>
              <w:t>(0.0497)</w:t>
            </w:r>
          </w:p>
        </w:tc>
        <w:tc>
          <w:tcPr>
            <w:tcW w:w="1184"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0.1099**</w:t>
            </w:r>
          </w:p>
          <w:p w:rsidR="001013CE" w:rsidRPr="001013CE" w:rsidRDefault="001013CE" w:rsidP="001013CE">
            <w:pPr>
              <w:jc w:val="center"/>
              <w:rPr>
                <w:sz w:val="20"/>
                <w:szCs w:val="20"/>
                <w:lang w:val="en-GB" w:eastAsia="en-US"/>
              </w:rPr>
            </w:pPr>
            <w:r w:rsidRPr="001013CE">
              <w:rPr>
                <w:sz w:val="20"/>
                <w:szCs w:val="20"/>
                <w:lang w:val="en-GB" w:eastAsia="en-US"/>
              </w:rPr>
              <w:t>(0.0495)</w:t>
            </w: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0.2009***</w:t>
            </w:r>
          </w:p>
          <w:p w:rsidR="001013CE" w:rsidRPr="001013CE" w:rsidRDefault="001013CE" w:rsidP="001013CE">
            <w:pPr>
              <w:jc w:val="center"/>
              <w:rPr>
                <w:sz w:val="20"/>
                <w:szCs w:val="20"/>
                <w:lang w:val="en-GB" w:eastAsia="en-US"/>
              </w:rPr>
            </w:pPr>
            <w:r w:rsidRPr="001013CE">
              <w:rPr>
                <w:sz w:val="20"/>
                <w:szCs w:val="20"/>
                <w:lang w:val="en-GB" w:eastAsia="en-US"/>
              </w:rPr>
              <w:t>(0.0465)</w:t>
            </w:r>
          </w:p>
        </w:tc>
        <w:tc>
          <w:tcPr>
            <w:tcW w:w="1154"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0.0511</w:t>
            </w:r>
          </w:p>
          <w:p w:rsidR="001013CE" w:rsidRPr="001013CE" w:rsidRDefault="001013CE" w:rsidP="001013CE">
            <w:pPr>
              <w:jc w:val="center"/>
              <w:rPr>
                <w:sz w:val="20"/>
                <w:szCs w:val="20"/>
                <w:lang w:val="en-GB" w:eastAsia="en-US"/>
              </w:rPr>
            </w:pPr>
            <w:r w:rsidRPr="001013CE">
              <w:rPr>
                <w:sz w:val="20"/>
                <w:szCs w:val="20"/>
                <w:lang w:val="en-GB" w:eastAsia="en-US"/>
              </w:rPr>
              <w:t>(0.0478)</w:t>
            </w:r>
          </w:p>
        </w:tc>
      </w:tr>
      <w:tr w:rsidR="001013CE" w:rsidRPr="001013CE" w:rsidTr="0043562D">
        <w:trPr>
          <w:trHeight w:val="554"/>
        </w:trPr>
        <w:tc>
          <w:tcPr>
            <w:tcW w:w="0" w:type="auto"/>
            <w:tcBorders>
              <w:top w:val="nil"/>
              <w:left w:val="nil"/>
              <w:bottom w:val="nil"/>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Public capital</w:t>
            </w:r>
          </w:p>
        </w:tc>
        <w:tc>
          <w:tcPr>
            <w:tcW w:w="1383" w:type="dxa"/>
            <w:tcBorders>
              <w:top w:val="nil"/>
              <w:left w:val="nil"/>
              <w:bottom w:val="nil"/>
              <w:right w:val="nil"/>
            </w:tcBorders>
            <w:vAlign w:val="center"/>
          </w:tcPr>
          <w:p w:rsidR="001013CE" w:rsidRPr="001013CE" w:rsidRDefault="001013CE" w:rsidP="001013CE">
            <w:pPr>
              <w:jc w:val="center"/>
              <w:rPr>
                <w:sz w:val="20"/>
                <w:szCs w:val="20"/>
                <w:lang w:val="en-GB" w:eastAsia="en-US"/>
              </w:rPr>
            </w:pP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0.3735***</w:t>
            </w:r>
          </w:p>
          <w:p w:rsidR="001013CE" w:rsidRPr="001013CE" w:rsidRDefault="001013CE" w:rsidP="001013CE">
            <w:pPr>
              <w:jc w:val="center"/>
              <w:rPr>
                <w:sz w:val="20"/>
                <w:szCs w:val="20"/>
                <w:lang w:val="en-GB" w:eastAsia="en-US"/>
              </w:rPr>
            </w:pPr>
            <w:r w:rsidRPr="001013CE">
              <w:rPr>
                <w:sz w:val="20"/>
                <w:szCs w:val="20"/>
                <w:lang w:val="en-GB" w:eastAsia="en-US"/>
              </w:rPr>
              <w:t>(0.0320)</w:t>
            </w:r>
          </w:p>
        </w:tc>
        <w:tc>
          <w:tcPr>
            <w:tcW w:w="1148"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0.3966***</w:t>
            </w:r>
          </w:p>
          <w:p w:rsidR="001013CE" w:rsidRPr="001013CE" w:rsidRDefault="001013CE" w:rsidP="001013CE">
            <w:pPr>
              <w:jc w:val="center"/>
              <w:rPr>
                <w:sz w:val="20"/>
                <w:szCs w:val="20"/>
                <w:lang w:val="en-GB" w:eastAsia="en-US"/>
              </w:rPr>
            </w:pPr>
            <w:r w:rsidRPr="001013CE">
              <w:rPr>
                <w:sz w:val="20"/>
                <w:szCs w:val="20"/>
                <w:lang w:val="en-GB" w:eastAsia="en-US"/>
              </w:rPr>
              <w:t>(0.0312)</w:t>
            </w:r>
          </w:p>
        </w:tc>
        <w:tc>
          <w:tcPr>
            <w:tcW w:w="1184"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0.3973***</w:t>
            </w:r>
          </w:p>
          <w:p w:rsidR="001013CE" w:rsidRPr="001013CE" w:rsidRDefault="001013CE" w:rsidP="001013CE">
            <w:pPr>
              <w:jc w:val="center"/>
              <w:rPr>
                <w:sz w:val="20"/>
                <w:szCs w:val="20"/>
                <w:lang w:val="en-GB" w:eastAsia="en-US"/>
              </w:rPr>
            </w:pPr>
            <w:r w:rsidRPr="001013CE">
              <w:rPr>
                <w:sz w:val="20"/>
                <w:szCs w:val="20"/>
                <w:lang w:val="en-GB" w:eastAsia="en-US"/>
              </w:rPr>
              <w:t>(0.0312)</w:t>
            </w: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0.4152***</w:t>
            </w:r>
          </w:p>
          <w:p w:rsidR="001013CE" w:rsidRPr="001013CE" w:rsidRDefault="001013CE" w:rsidP="001013CE">
            <w:pPr>
              <w:jc w:val="center"/>
              <w:rPr>
                <w:sz w:val="20"/>
                <w:szCs w:val="20"/>
                <w:lang w:val="en-GB" w:eastAsia="en-US"/>
              </w:rPr>
            </w:pPr>
            <w:r w:rsidRPr="001013CE">
              <w:rPr>
                <w:sz w:val="20"/>
                <w:szCs w:val="20"/>
                <w:lang w:val="en-GB" w:eastAsia="en-US"/>
              </w:rPr>
              <w:t>(0.0324)</w:t>
            </w:r>
          </w:p>
        </w:tc>
        <w:tc>
          <w:tcPr>
            <w:tcW w:w="1154"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0.4267***</w:t>
            </w:r>
          </w:p>
          <w:p w:rsidR="001013CE" w:rsidRPr="001013CE" w:rsidRDefault="001013CE" w:rsidP="001013CE">
            <w:pPr>
              <w:jc w:val="center"/>
              <w:rPr>
                <w:sz w:val="20"/>
                <w:szCs w:val="20"/>
                <w:lang w:val="en-GB" w:eastAsia="en-US"/>
              </w:rPr>
            </w:pPr>
            <w:r w:rsidRPr="001013CE">
              <w:rPr>
                <w:sz w:val="20"/>
                <w:szCs w:val="20"/>
                <w:lang w:val="en-GB" w:eastAsia="en-US"/>
              </w:rPr>
              <w:t>(0.0307)</w:t>
            </w:r>
          </w:p>
        </w:tc>
      </w:tr>
      <w:tr w:rsidR="001013CE" w:rsidRPr="001013CE" w:rsidTr="0043562D">
        <w:trPr>
          <w:trHeight w:val="302"/>
        </w:trPr>
        <w:tc>
          <w:tcPr>
            <w:tcW w:w="0" w:type="auto"/>
            <w:tcBorders>
              <w:top w:val="nil"/>
              <w:left w:val="nil"/>
              <w:bottom w:val="single" w:sz="4" w:space="0" w:color="auto"/>
              <w:right w:val="nil"/>
            </w:tcBorders>
            <w:vAlign w:val="center"/>
          </w:tcPr>
          <w:p w:rsidR="001013CE" w:rsidRPr="001013CE" w:rsidRDefault="001013CE" w:rsidP="001013CE">
            <w:pPr>
              <w:rPr>
                <w:b/>
                <w:sz w:val="20"/>
                <w:szCs w:val="20"/>
                <w:lang w:val="en-GB" w:eastAsia="en-US"/>
              </w:rPr>
            </w:pPr>
            <w:r w:rsidRPr="001013CE">
              <w:rPr>
                <w:b/>
                <w:sz w:val="20"/>
                <w:szCs w:val="20"/>
                <w:lang w:val="en-GB" w:eastAsia="en-US"/>
              </w:rPr>
              <w:t>Spatial terms</w:t>
            </w:r>
          </w:p>
        </w:tc>
        <w:tc>
          <w:tcPr>
            <w:tcW w:w="1383"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148"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184"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154"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r>
      <w:tr w:rsidR="001013CE" w:rsidRPr="001013CE" w:rsidTr="0043562D">
        <w:trPr>
          <w:trHeight w:val="567"/>
        </w:trPr>
        <w:tc>
          <w:tcPr>
            <w:tcW w:w="0" w:type="auto"/>
            <w:tcBorders>
              <w:left w:val="nil"/>
              <w:bottom w:val="nil"/>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TFP index</w:t>
            </w:r>
          </w:p>
        </w:tc>
        <w:tc>
          <w:tcPr>
            <w:tcW w:w="1383" w:type="dxa"/>
            <w:tcBorders>
              <w:left w:val="nil"/>
              <w:bottom w:val="nil"/>
              <w:right w:val="nil"/>
            </w:tcBorders>
            <w:vAlign w:val="center"/>
          </w:tcPr>
          <w:p w:rsidR="001013CE" w:rsidRPr="001013CE" w:rsidRDefault="001013CE" w:rsidP="001013CE">
            <w:pPr>
              <w:jc w:val="center"/>
              <w:rPr>
                <w:sz w:val="20"/>
                <w:szCs w:val="20"/>
                <w:lang w:val="en-GB" w:eastAsia="en-US"/>
              </w:rPr>
            </w:pPr>
          </w:p>
        </w:tc>
        <w:tc>
          <w:tcPr>
            <w:tcW w:w="1066" w:type="dxa"/>
            <w:tcBorders>
              <w:left w:val="nil"/>
              <w:bottom w:val="nil"/>
              <w:right w:val="nil"/>
            </w:tcBorders>
            <w:vAlign w:val="center"/>
          </w:tcPr>
          <w:p w:rsidR="001013CE" w:rsidRPr="001013CE" w:rsidRDefault="001013CE" w:rsidP="001013CE">
            <w:pPr>
              <w:jc w:val="center"/>
              <w:rPr>
                <w:sz w:val="20"/>
                <w:szCs w:val="20"/>
                <w:lang w:val="en-GB" w:eastAsia="en-US"/>
              </w:rPr>
            </w:pPr>
          </w:p>
        </w:tc>
        <w:tc>
          <w:tcPr>
            <w:tcW w:w="1148"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0.1516*</w:t>
            </w:r>
          </w:p>
          <w:p w:rsidR="001013CE" w:rsidRPr="001013CE" w:rsidRDefault="001013CE" w:rsidP="001013CE">
            <w:pPr>
              <w:jc w:val="center"/>
              <w:rPr>
                <w:sz w:val="20"/>
                <w:szCs w:val="20"/>
                <w:lang w:val="en-GB" w:eastAsia="en-US"/>
              </w:rPr>
            </w:pPr>
            <w:r w:rsidRPr="001013CE">
              <w:rPr>
                <w:sz w:val="20"/>
                <w:szCs w:val="20"/>
                <w:lang w:val="en-GB" w:eastAsia="en-US"/>
              </w:rPr>
              <w:t>(0.0868)</w:t>
            </w:r>
          </w:p>
        </w:tc>
        <w:tc>
          <w:tcPr>
            <w:tcW w:w="1184"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0.1445**</w:t>
            </w:r>
          </w:p>
          <w:p w:rsidR="001013CE" w:rsidRPr="001013CE" w:rsidRDefault="001013CE" w:rsidP="001013CE">
            <w:pPr>
              <w:jc w:val="center"/>
              <w:rPr>
                <w:sz w:val="20"/>
                <w:szCs w:val="20"/>
                <w:lang w:val="en-GB" w:eastAsia="en-US"/>
              </w:rPr>
            </w:pPr>
            <w:r w:rsidRPr="001013CE">
              <w:rPr>
                <w:sz w:val="20"/>
                <w:szCs w:val="20"/>
                <w:lang w:val="en-GB" w:eastAsia="en-US"/>
              </w:rPr>
              <w:t>(0.0709)</w:t>
            </w:r>
          </w:p>
        </w:tc>
        <w:tc>
          <w:tcPr>
            <w:tcW w:w="1066"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-0.2597*</w:t>
            </w:r>
          </w:p>
          <w:p w:rsidR="001013CE" w:rsidRPr="001013CE" w:rsidRDefault="001013CE" w:rsidP="001013CE">
            <w:pPr>
              <w:jc w:val="center"/>
              <w:rPr>
                <w:sz w:val="20"/>
                <w:szCs w:val="20"/>
                <w:lang w:val="en-GB" w:eastAsia="en-US"/>
              </w:rPr>
            </w:pPr>
            <w:r w:rsidRPr="001013CE">
              <w:rPr>
                <w:sz w:val="20"/>
                <w:szCs w:val="20"/>
                <w:lang w:val="en-GB" w:eastAsia="en-US"/>
              </w:rPr>
              <w:t>(0.1341)</w:t>
            </w:r>
          </w:p>
        </w:tc>
        <w:tc>
          <w:tcPr>
            <w:tcW w:w="1154"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0.0998*</w:t>
            </w:r>
          </w:p>
          <w:p w:rsidR="001013CE" w:rsidRPr="001013CE" w:rsidRDefault="001013CE" w:rsidP="001013CE">
            <w:pPr>
              <w:jc w:val="center"/>
              <w:rPr>
                <w:sz w:val="20"/>
                <w:szCs w:val="20"/>
                <w:lang w:val="en-GB" w:eastAsia="en-US"/>
              </w:rPr>
            </w:pPr>
            <w:r w:rsidRPr="001013CE">
              <w:rPr>
                <w:sz w:val="20"/>
                <w:szCs w:val="20"/>
                <w:lang w:val="en-GB" w:eastAsia="en-US"/>
              </w:rPr>
              <w:t>(0.0579)</w:t>
            </w:r>
          </w:p>
        </w:tc>
      </w:tr>
      <w:tr w:rsidR="001013CE" w:rsidRPr="001013CE" w:rsidTr="0043562D">
        <w:trPr>
          <w:trHeight w:val="567"/>
        </w:trPr>
        <w:tc>
          <w:tcPr>
            <w:tcW w:w="0" w:type="auto"/>
            <w:tcBorders>
              <w:top w:val="nil"/>
              <w:left w:val="nil"/>
              <w:bottom w:val="nil"/>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Knowledge capital</w:t>
            </w:r>
          </w:p>
        </w:tc>
        <w:tc>
          <w:tcPr>
            <w:tcW w:w="1383" w:type="dxa"/>
            <w:tcBorders>
              <w:top w:val="nil"/>
              <w:left w:val="nil"/>
              <w:bottom w:val="nil"/>
              <w:right w:val="nil"/>
            </w:tcBorders>
            <w:vAlign w:val="center"/>
          </w:tcPr>
          <w:p w:rsidR="001013CE" w:rsidRPr="001013CE" w:rsidRDefault="001013CE" w:rsidP="001013CE">
            <w:pPr>
              <w:jc w:val="center"/>
              <w:rPr>
                <w:sz w:val="20"/>
                <w:szCs w:val="20"/>
                <w:lang w:val="en-GB" w:eastAsia="en-US"/>
              </w:rPr>
            </w:pP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p>
        </w:tc>
        <w:tc>
          <w:tcPr>
            <w:tcW w:w="1148"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0.3826***</w:t>
            </w:r>
          </w:p>
          <w:p w:rsidR="001013CE" w:rsidRPr="001013CE" w:rsidRDefault="001013CE" w:rsidP="001013CE">
            <w:pPr>
              <w:jc w:val="center"/>
              <w:rPr>
                <w:sz w:val="20"/>
                <w:szCs w:val="20"/>
                <w:lang w:val="en-GB" w:eastAsia="en-US"/>
              </w:rPr>
            </w:pPr>
            <w:r w:rsidRPr="001013CE">
              <w:rPr>
                <w:sz w:val="20"/>
                <w:szCs w:val="20"/>
                <w:lang w:val="en-GB" w:eastAsia="en-US"/>
              </w:rPr>
              <w:t>(0.1162)</w:t>
            </w:r>
          </w:p>
        </w:tc>
        <w:tc>
          <w:tcPr>
            <w:tcW w:w="1184"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0.3307***</w:t>
            </w:r>
          </w:p>
          <w:p w:rsidR="001013CE" w:rsidRPr="001013CE" w:rsidRDefault="001013CE" w:rsidP="001013CE">
            <w:pPr>
              <w:jc w:val="center"/>
              <w:rPr>
                <w:sz w:val="20"/>
                <w:szCs w:val="20"/>
                <w:lang w:val="en-GB" w:eastAsia="en-US"/>
              </w:rPr>
            </w:pPr>
            <w:r w:rsidRPr="001013CE">
              <w:rPr>
                <w:sz w:val="20"/>
                <w:szCs w:val="20"/>
                <w:lang w:val="en-GB" w:eastAsia="en-US"/>
              </w:rPr>
              <w:t>(0.1000)</w:t>
            </w: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0.1154</w:t>
            </w:r>
          </w:p>
          <w:p w:rsidR="001013CE" w:rsidRPr="001013CE" w:rsidRDefault="001013CE" w:rsidP="001013CE">
            <w:pPr>
              <w:jc w:val="center"/>
              <w:rPr>
                <w:sz w:val="20"/>
                <w:szCs w:val="20"/>
                <w:lang w:val="en-GB" w:eastAsia="en-US"/>
              </w:rPr>
            </w:pPr>
            <w:r w:rsidRPr="001013CE">
              <w:rPr>
                <w:sz w:val="20"/>
                <w:szCs w:val="20"/>
                <w:lang w:val="en-GB" w:eastAsia="en-US"/>
              </w:rPr>
              <w:t>(0.1902)</w:t>
            </w:r>
          </w:p>
        </w:tc>
        <w:tc>
          <w:tcPr>
            <w:tcW w:w="1154"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0.4999***</w:t>
            </w:r>
          </w:p>
          <w:p w:rsidR="001013CE" w:rsidRPr="001013CE" w:rsidRDefault="001013CE" w:rsidP="001013CE">
            <w:pPr>
              <w:jc w:val="center"/>
              <w:rPr>
                <w:sz w:val="20"/>
                <w:szCs w:val="20"/>
                <w:lang w:val="en-GB" w:eastAsia="en-US"/>
              </w:rPr>
            </w:pPr>
            <w:r w:rsidRPr="001013CE">
              <w:rPr>
                <w:sz w:val="20"/>
                <w:szCs w:val="20"/>
                <w:lang w:val="en-GB" w:eastAsia="en-US"/>
              </w:rPr>
              <w:t>(0.0723)</w:t>
            </w:r>
          </w:p>
        </w:tc>
      </w:tr>
      <w:tr w:rsidR="001013CE" w:rsidRPr="001013CE" w:rsidTr="0043562D">
        <w:trPr>
          <w:trHeight w:val="567"/>
        </w:trPr>
        <w:tc>
          <w:tcPr>
            <w:tcW w:w="0" w:type="auto"/>
            <w:tcBorders>
              <w:top w:val="nil"/>
              <w:left w:val="nil"/>
              <w:bottom w:val="nil"/>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Public capital</w:t>
            </w:r>
          </w:p>
        </w:tc>
        <w:tc>
          <w:tcPr>
            <w:tcW w:w="1383" w:type="dxa"/>
            <w:tcBorders>
              <w:top w:val="nil"/>
              <w:left w:val="nil"/>
              <w:bottom w:val="nil"/>
              <w:right w:val="nil"/>
            </w:tcBorders>
            <w:vAlign w:val="center"/>
          </w:tcPr>
          <w:p w:rsidR="001013CE" w:rsidRPr="001013CE" w:rsidRDefault="001013CE" w:rsidP="001013CE">
            <w:pPr>
              <w:jc w:val="center"/>
              <w:rPr>
                <w:sz w:val="20"/>
                <w:szCs w:val="20"/>
                <w:lang w:val="en-GB" w:eastAsia="en-US"/>
              </w:rPr>
            </w:pP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p>
        </w:tc>
        <w:tc>
          <w:tcPr>
            <w:tcW w:w="1148"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-0.5088***</w:t>
            </w:r>
          </w:p>
          <w:p w:rsidR="001013CE" w:rsidRPr="001013CE" w:rsidRDefault="001013CE" w:rsidP="001013CE">
            <w:pPr>
              <w:jc w:val="center"/>
              <w:rPr>
                <w:sz w:val="20"/>
                <w:szCs w:val="20"/>
                <w:lang w:val="en-GB" w:eastAsia="en-US"/>
              </w:rPr>
            </w:pPr>
            <w:r w:rsidRPr="001013CE">
              <w:rPr>
                <w:sz w:val="20"/>
                <w:szCs w:val="20"/>
                <w:lang w:val="en-GB" w:eastAsia="en-US"/>
              </w:rPr>
              <w:t>(0.0944)</w:t>
            </w:r>
          </w:p>
        </w:tc>
        <w:tc>
          <w:tcPr>
            <w:tcW w:w="1184"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-0.4369***</w:t>
            </w:r>
          </w:p>
          <w:p w:rsidR="001013CE" w:rsidRPr="001013CE" w:rsidRDefault="001013CE" w:rsidP="001013CE">
            <w:pPr>
              <w:jc w:val="center"/>
              <w:rPr>
                <w:sz w:val="20"/>
                <w:szCs w:val="20"/>
                <w:lang w:val="en-GB" w:eastAsia="en-US"/>
              </w:rPr>
            </w:pPr>
            <w:r w:rsidRPr="001013CE">
              <w:rPr>
                <w:sz w:val="20"/>
                <w:szCs w:val="20"/>
                <w:lang w:val="en-GB" w:eastAsia="en-US"/>
              </w:rPr>
              <w:t>(0.0765)</w:t>
            </w: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0.5161***</w:t>
            </w:r>
          </w:p>
          <w:p w:rsidR="001013CE" w:rsidRPr="001013CE" w:rsidRDefault="001013CE" w:rsidP="001013CE">
            <w:pPr>
              <w:jc w:val="center"/>
              <w:rPr>
                <w:sz w:val="20"/>
                <w:szCs w:val="20"/>
                <w:lang w:val="en-GB" w:eastAsia="en-US"/>
              </w:rPr>
            </w:pPr>
            <w:r w:rsidRPr="001013CE">
              <w:rPr>
                <w:sz w:val="20"/>
                <w:szCs w:val="20"/>
                <w:lang w:val="en-GB" w:eastAsia="en-US"/>
              </w:rPr>
              <w:t>(0.1510)</w:t>
            </w:r>
          </w:p>
        </w:tc>
        <w:tc>
          <w:tcPr>
            <w:tcW w:w="1154"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-0.3492***</w:t>
            </w:r>
          </w:p>
          <w:p w:rsidR="001013CE" w:rsidRPr="001013CE" w:rsidRDefault="001013CE" w:rsidP="001013CE">
            <w:pPr>
              <w:jc w:val="center"/>
              <w:rPr>
                <w:sz w:val="20"/>
                <w:szCs w:val="20"/>
                <w:lang w:val="en-GB" w:eastAsia="en-US"/>
              </w:rPr>
            </w:pPr>
            <w:r w:rsidRPr="001013CE">
              <w:rPr>
                <w:sz w:val="20"/>
                <w:szCs w:val="20"/>
                <w:lang w:val="en-GB" w:eastAsia="en-US"/>
              </w:rPr>
              <w:t>(0.0546)</w:t>
            </w:r>
          </w:p>
        </w:tc>
      </w:tr>
      <w:tr w:rsidR="001013CE" w:rsidRPr="001013CE" w:rsidTr="0043562D">
        <w:trPr>
          <w:trHeight w:val="358"/>
        </w:trPr>
        <w:tc>
          <w:tcPr>
            <w:tcW w:w="0" w:type="auto"/>
            <w:tcBorders>
              <w:top w:val="nil"/>
              <w:left w:val="nil"/>
              <w:bottom w:val="nil"/>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Distances (km)</w:t>
            </w:r>
          </w:p>
        </w:tc>
        <w:tc>
          <w:tcPr>
            <w:tcW w:w="1383"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w:t>
            </w:r>
          </w:p>
        </w:tc>
        <w:tc>
          <w:tcPr>
            <w:tcW w:w="1066" w:type="dxa"/>
            <w:tcBorders>
              <w:top w:val="nil"/>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w:t>
            </w:r>
          </w:p>
        </w:tc>
        <w:tc>
          <w:tcPr>
            <w:tcW w:w="1148" w:type="dxa"/>
            <w:tcBorders>
              <w:top w:val="nil"/>
              <w:left w:val="nil"/>
              <w:bottom w:val="nil"/>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All</w:t>
            </w:r>
          </w:p>
        </w:tc>
        <w:tc>
          <w:tcPr>
            <w:tcW w:w="1184" w:type="dxa"/>
            <w:tcBorders>
              <w:top w:val="nil"/>
              <w:left w:val="nil"/>
              <w:bottom w:val="nil"/>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&lt;400</w:t>
            </w:r>
          </w:p>
        </w:tc>
        <w:tc>
          <w:tcPr>
            <w:tcW w:w="1066" w:type="dxa"/>
            <w:tcBorders>
              <w:top w:val="nil"/>
              <w:left w:val="nil"/>
              <w:bottom w:val="nil"/>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&gt;400</w:t>
            </w:r>
          </w:p>
        </w:tc>
        <w:tc>
          <w:tcPr>
            <w:tcW w:w="1154" w:type="dxa"/>
            <w:tcBorders>
              <w:top w:val="nil"/>
              <w:left w:val="nil"/>
              <w:bottom w:val="nil"/>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Binary</w:t>
            </w:r>
          </w:p>
        </w:tc>
      </w:tr>
      <w:tr w:rsidR="001013CE" w:rsidRPr="001013CE" w:rsidTr="0043562D">
        <w:trPr>
          <w:trHeight w:val="85"/>
        </w:trPr>
        <w:tc>
          <w:tcPr>
            <w:tcW w:w="0" w:type="auto"/>
            <w:tcBorders>
              <w:top w:val="nil"/>
              <w:left w:val="nil"/>
              <w:bottom w:val="single" w:sz="4" w:space="0" w:color="auto"/>
              <w:right w:val="nil"/>
            </w:tcBorders>
            <w:vAlign w:val="center"/>
          </w:tcPr>
          <w:p w:rsidR="001013CE" w:rsidRPr="001013CE" w:rsidRDefault="001013CE" w:rsidP="001013CE">
            <w:pPr>
              <w:rPr>
                <w:b/>
                <w:sz w:val="20"/>
                <w:szCs w:val="20"/>
                <w:lang w:val="en-GB" w:eastAsia="en-US"/>
              </w:rPr>
            </w:pPr>
            <w:r w:rsidRPr="001013CE">
              <w:rPr>
                <w:b/>
                <w:sz w:val="20"/>
                <w:szCs w:val="20"/>
                <w:lang w:val="en-GB" w:eastAsia="en-US"/>
              </w:rPr>
              <w:t>Fixed effects</w:t>
            </w:r>
          </w:p>
        </w:tc>
        <w:tc>
          <w:tcPr>
            <w:tcW w:w="1383"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148"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184"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c>
          <w:tcPr>
            <w:tcW w:w="1154"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p>
        </w:tc>
      </w:tr>
      <w:tr w:rsidR="001013CE" w:rsidRPr="001013CE" w:rsidTr="0043562D">
        <w:trPr>
          <w:trHeight w:val="334"/>
        </w:trPr>
        <w:tc>
          <w:tcPr>
            <w:tcW w:w="0" w:type="auto"/>
            <w:tcBorders>
              <w:left w:val="nil"/>
              <w:bottom w:val="nil"/>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 xml:space="preserve">Regional </w:t>
            </w:r>
          </w:p>
        </w:tc>
        <w:tc>
          <w:tcPr>
            <w:tcW w:w="1383" w:type="dxa"/>
            <w:tcBorders>
              <w:left w:val="nil"/>
              <w:bottom w:val="nil"/>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No</w:t>
            </w:r>
          </w:p>
        </w:tc>
        <w:tc>
          <w:tcPr>
            <w:tcW w:w="1066" w:type="dxa"/>
            <w:tcBorders>
              <w:left w:val="nil"/>
              <w:bottom w:val="nil"/>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Yes</w:t>
            </w:r>
          </w:p>
        </w:tc>
        <w:tc>
          <w:tcPr>
            <w:tcW w:w="1148" w:type="dxa"/>
            <w:tcBorders>
              <w:left w:val="nil"/>
              <w:bottom w:val="nil"/>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Yes</w:t>
            </w:r>
          </w:p>
        </w:tc>
        <w:tc>
          <w:tcPr>
            <w:tcW w:w="1184" w:type="dxa"/>
            <w:tcBorders>
              <w:left w:val="nil"/>
              <w:bottom w:val="nil"/>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Yes</w:t>
            </w:r>
          </w:p>
        </w:tc>
        <w:tc>
          <w:tcPr>
            <w:tcW w:w="1066" w:type="dxa"/>
            <w:tcBorders>
              <w:left w:val="nil"/>
              <w:bottom w:val="nil"/>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Yes</w:t>
            </w:r>
          </w:p>
        </w:tc>
        <w:tc>
          <w:tcPr>
            <w:tcW w:w="1154" w:type="dxa"/>
            <w:tcBorders>
              <w:left w:val="nil"/>
              <w:bottom w:val="nil"/>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Yes</w:t>
            </w:r>
          </w:p>
        </w:tc>
      </w:tr>
      <w:tr w:rsidR="001013CE" w:rsidRPr="001013CE" w:rsidTr="0043562D">
        <w:trPr>
          <w:trHeight w:val="260"/>
        </w:trPr>
        <w:tc>
          <w:tcPr>
            <w:tcW w:w="0" w:type="auto"/>
            <w:tcBorders>
              <w:top w:val="nil"/>
              <w:left w:val="nil"/>
              <w:bottom w:val="single" w:sz="4" w:space="0" w:color="auto"/>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Year dummies</w:t>
            </w:r>
          </w:p>
        </w:tc>
        <w:tc>
          <w:tcPr>
            <w:tcW w:w="1383" w:type="dxa"/>
            <w:tcBorders>
              <w:top w:val="nil"/>
              <w:left w:val="nil"/>
              <w:bottom w:val="single" w:sz="4" w:space="0" w:color="auto"/>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No</w:t>
            </w:r>
          </w:p>
        </w:tc>
        <w:tc>
          <w:tcPr>
            <w:tcW w:w="1066" w:type="dxa"/>
            <w:tcBorders>
              <w:top w:val="nil"/>
              <w:left w:val="nil"/>
              <w:bottom w:val="single" w:sz="4" w:space="0" w:color="auto"/>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Yes</w:t>
            </w:r>
          </w:p>
        </w:tc>
        <w:tc>
          <w:tcPr>
            <w:tcW w:w="1148" w:type="dxa"/>
            <w:tcBorders>
              <w:top w:val="nil"/>
              <w:left w:val="nil"/>
              <w:bottom w:val="single" w:sz="4" w:space="0" w:color="auto"/>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Yes</w:t>
            </w:r>
          </w:p>
        </w:tc>
        <w:tc>
          <w:tcPr>
            <w:tcW w:w="1184" w:type="dxa"/>
            <w:tcBorders>
              <w:top w:val="nil"/>
              <w:left w:val="nil"/>
              <w:bottom w:val="single" w:sz="4" w:space="0" w:color="auto"/>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Yes</w:t>
            </w:r>
          </w:p>
        </w:tc>
        <w:tc>
          <w:tcPr>
            <w:tcW w:w="1066" w:type="dxa"/>
            <w:tcBorders>
              <w:top w:val="nil"/>
              <w:left w:val="nil"/>
              <w:bottom w:val="single" w:sz="4" w:space="0" w:color="auto"/>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Yes</w:t>
            </w:r>
          </w:p>
        </w:tc>
        <w:tc>
          <w:tcPr>
            <w:tcW w:w="1154" w:type="dxa"/>
            <w:tcBorders>
              <w:top w:val="nil"/>
              <w:left w:val="nil"/>
              <w:bottom w:val="single" w:sz="4" w:space="0" w:color="auto"/>
              <w:right w:val="nil"/>
            </w:tcBorders>
            <w:vAlign w:val="center"/>
          </w:tcPr>
          <w:p w:rsidR="001013CE" w:rsidRPr="001013CE" w:rsidRDefault="001013CE" w:rsidP="001013CE">
            <w:pPr>
              <w:jc w:val="center"/>
              <w:rPr>
                <w:i/>
                <w:sz w:val="20"/>
                <w:szCs w:val="20"/>
                <w:lang w:val="en-GB" w:eastAsia="en-US"/>
              </w:rPr>
            </w:pPr>
            <w:r w:rsidRPr="001013CE">
              <w:rPr>
                <w:i/>
                <w:sz w:val="20"/>
                <w:szCs w:val="20"/>
                <w:lang w:val="en-GB" w:eastAsia="en-US"/>
              </w:rPr>
              <w:t>Yes</w:t>
            </w:r>
          </w:p>
        </w:tc>
      </w:tr>
      <w:tr w:rsidR="001013CE" w:rsidRPr="001013CE" w:rsidTr="0043562D">
        <w:trPr>
          <w:trHeight w:val="567"/>
        </w:trPr>
        <w:tc>
          <w:tcPr>
            <w:tcW w:w="0" w:type="auto"/>
            <w:tcBorders>
              <w:left w:val="nil"/>
              <w:bottom w:val="single" w:sz="4" w:space="0" w:color="auto"/>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Moran I test</w:t>
            </w:r>
          </w:p>
          <w:p w:rsidR="001013CE" w:rsidRPr="001013CE" w:rsidRDefault="001013CE" w:rsidP="001013CE">
            <w:pPr>
              <w:rPr>
                <w:i/>
                <w:sz w:val="20"/>
                <w:szCs w:val="20"/>
                <w:lang w:val="en-GB" w:eastAsia="en-US"/>
              </w:rPr>
            </w:pPr>
            <w:r w:rsidRPr="001013CE">
              <w:rPr>
                <w:i/>
                <w:sz w:val="20"/>
                <w:szCs w:val="20"/>
                <w:lang w:val="en-GB" w:eastAsia="en-US"/>
              </w:rPr>
              <w:t>p value</w:t>
            </w:r>
          </w:p>
        </w:tc>
        <w:tc>
          <w:tcPr>
            <w:tcW w:w="1383" w:type="dxa"/>
            <w:tcBorders>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0.336</w:t>
            </w:r>
          </w:p>
          <w:p w:rsidR="001013CE" w:rsidRPr="001013CE" w:rsidRDefault="001013CE" w:rsidP="001013CE">
            <w:pPr>
              <w:jc w:val="center"/>
              <w:rPr>
                <w:sz w:val="20"/>
                <w:szCs w:val="20"/>
                <w:lang w:val="en-GB" w:eastAsia="en-US"/>
              </w:rPr>
            </w:pPr>
            <w:r w:rsidRPr="001013CE">
              <w:rPr>
                <w:sz w:val="20"/>
                <w:szCs w:val="20"/>
                <w:lang w:val="en-GB" w:eastAsia="en-US"/>
              </w:rPr>
              <w:t>(0.000)</w:t>
            </w:r>
          </w:p>
        </w:tc>
        <w:tc>
          <w:tcPr>
            <w:tcW w:w="1066" w:type="dxa"/>
            <w:tcBorders>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0.183 (0.000)</w:t>
            </w:r>
          </w:p>
        </w:tc>
        <w:tc>
          <w:tcPr>
            <w:tcW w:w="1148" w:type="dxa"/>
            <w:tcBorders>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0.008 (0.315)</w:t>
            </w:r>
          </w:p>
        </w:tc>
        <w:tc>
          <w:tcPr>
            <w:tcW w:w="1184" w:type="dxa"/>
            <w:tcBorders>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0.004 (0.344)</w:t>
            </w:r>
          </w:p>
        </w:tc>
        <w:tc>
          <w:tcPr>
            <w:tcW w:w="1066" w:type="dxa"/>
            <w:tcBorders>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0.008 (0.320)</w:t>
            </w:r>
          </w:p>
        </w:tc>
        <w:tc>
          <w:tcPr>
            <w:tcW w:w="1154" w:type="dxa"/>
            <w:tcBorders>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-0.042 (0.351)</w:t>
            </w:r>
          </w:p>
        </w:tc>
      </w:tr>
      <w:tr w:rsidR="001013CE" w:rsidRPr="001013CE" w:rsidTr="0043562D">
        <w:trPr>
          <w:trHeight w:val="446"/>
        </w:trPr>
        <w:tc>
          <w:tcPr>
            <w:tcW w:w="0" w:type="auto"/>
            <w:tcBorders>
              <w:left w:val="nil"/>
              <w:bottom w:val="nil"/>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R</w:t>
            </w:r>
            <w:r w:rsidRPr="001013CE">
              <w:rPr>
                <w:i/>
                <w:sz w:val="20"/>
                <w:szCs w:val="20"/>
                <w:vertAlign w:val="superscript"/>
                <w:lang w:val="en-GB" w:eastAsia="en-US"/>
              </w:rPr>
              <w:t>2</w:t>
            </w:r>
          </w:p>
        </w:tc>
        <w:tc>
          <w:tcPr>
            <w:tcW w:w="1383"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0.12</w:t>
            </w:r>
          </w:p>
        </w:tc>
        <w:tc>
          <w:tcPr>
            <w:tcW w:w="1066"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0.32</w:t>
            </w:r>
          </w:p>
        </w:tc>
        <w:tc>
          <w:tcPr>
            <w:tcW w:w="1148"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0.36</w:t>
            </w:r>
          </w:p>
        </w:tc>
        <w:tc>
          <w:tcPr>
            <w:tcW w:w="1184"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0.35</w:t>
            </w:r>
          </w:p>
        </w:tc>
        <w:tc>
          <w:tcPr>
            <w:tcW w:w="1066"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0.33</w:t>
            </w:r>
          </w:p>
        </w:tc>
        <w:tc>
          <w:tcPr>
            <w:tcW w:w="1154" w:type="dxa"/>
            <w:tcBorders>
              <w:left w:val="nil"/>
              <w:bottom w:val="nil"/>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0.39</w:t>
            </w:r>
          </w:p>
        </w:tc>
      </w:tr>
      <w:tr w:rsidR="001013CE" w:rsidRPr="001013CE" w:rsidTr="0043562D">
        <w:trPr>
          <w:trHeight w:val="190"/>
        </w:trPr>
        <w:tc>
          <w:tcPr>
            <w:tcW w:w="0" w:type="auto"/>
            <w:tcBorders>
              <w:top w:val="nil"/>
              <w:left w:val="nil"/>
              <w:bottom w:val="single" w:sz="4" w:space="0" w:color="auto"/>
              <w:right w:val="nil"/>
            </w:tcBorders>
            <w:vAlign w:val="center"/>
          </w:tcPr>
          <w:p w:rsidR="001013CE" w:rsidRPr="001013CE" w:rsidRDefault="001013CE" w:rsidP="001013CE">
            <w:pPr>
              <w:rPr>
                <w:i/>
                <w:sz w:val="20"/>
                <w:szCs w:val="20"/>
                <w:lang w:val="en-GB" w:eastAsia="en-US"/>
              </w:rPr>
            </w:pPr>
            <w:r w:rsidRPr="001013CE">
              <w:rPr>
                <w:i/>
                <w:sz w:val="20"/>
                <w:szCs w:val="20"/>
                <w:lang w:val="en-GB" w:eastAsia="en-US"/>
              </w:rPr>
              <w:t>No. obs.</w:t>
            </w:r>
          </w:p>
        </w:tc>
        <w:tc>
          <w:tcPr>
            <w:tcW w:w="1383"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50</w:t>
            </w: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700</w:t>
            </w:r>
          </w:p>
        </w:tc>
        <w:tc>
          <w:tcPr>
            <w:tcW w:w="1148"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700</w:t>
            </w:r>
          </w:p>
        </w:tc>
        <w:tc>
          <w:tcPr>
            <w:tcW w:w="1184"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700</w:t>
            </w:r>
          </w:p>
        </w:tc>
        <w:tc>
          <w:tcPr>
            <w:tcW w:w="1066"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700</w:t>
            </w:r>
          </w:p>
        </w:tc>
        <w:tc>
          <w:tcPr>
            <w:tcW w:w="1154" w:type="dxa"/>
            <w:tcBorders>
              <w:top w:val="nil"/>
              <w:left w:val="nil"/>
              <w:bottom w:val="single" w:sz="4" w:space="0" w:color="auto"/>
              <w:right w:val="nil"/>
            </w:tcBorders>
            <w:vAlign w:val="center"/>
          </w:tcPr>
          <w:p w:rsidR="001013CE" w:rsidRPr="001013CE" w:rsidRDefault="001013CE" w:rsidP="001013CE">
            <w:pPr>
              <w:jc w:val="center"/>
              <w:rPr>
                <w:sz w:val="20"/>
                <w:szCs w:val="20"/>
                <w:lang w:val="en-GB" w:eastAsia="en-US"/>
              </w:rPr>
            </w:pPr>
            <w:r w:rsidRPr="001013CE">
              <w:rPr>
                <w:sz w:val="20"/>
                <w:szCs w:val="20"/>
                <w:lang w:val="en-GB" w:eastAsia="en-US"/>
              </w:rPr>
              <w:t>700</w:t>
            </w:r>
          </w:p>
        </w:tc>
      </w:tr>
      <w:tr w:rsidR="001013CE" w:rsidRPr="001013CE" w:rsidTr="0043562D">
        <w:trPr>
          <w:trHeight w:val="949"/>
        </w:trPr>
        <w:tc>
          <w:tcPr>
            <w:tcW w:w="8641" w:type="dxa"/>
            <w:gridSpan w:val="7"/>
            <w:tcBorders>
              <w:top w:val="single" w:sz="4" w:space="0" w:color="auto"/>
              <w:left w:val="nil"/>
              <w:bottom w:val="nil"/>
              <w:right w:val="nil"/>
            </w:tcBorders>
          </w:tcPr>
          <w:p w:rsidR="001013CE" w:rsidRPr="001013CE" w:rsidRDefault="001013CE" w:rsidP="001013CE">
            <w:pPr>
              <w:rPr>
                <w:sz w:val="20"/>
                <w:szCs w:val="20"/>
                <w:lang w:val="en-GB" w:eastAsia="en-US"/>
              </w:rPr>
            </w:pPr>
            <w:r w:rsidRPr="001013CE">
              <w:rPr>
                <w:i/>
                <w:sz w:val="20"/>
                <w:szCs w:val="20"/>
                <w:lang w:val="en-GB" w:eastAsia="en-US"/>
              </w:rPr>
              <w:t xml:space="preserve">Note: </w:t>
            </w:r>
            <w:r w:rsidRPr="001013CE">
              <w:rPr>
                <w:sz w:val="20"/>
                <w:szCs w:val="20"/>
                <w:lang w:val="en-GB" w:eastAsia="en-US"/>
              </w:rPr>
              <w:t>All the variables are transformed to logs.</w:t>
            </w:r>
          </w:p>
          <w:p w:rsidR="001013CE" w:rsidRPr="001013CE" w:rsidRDefault="001013CE" w:rsidP="001013CE">
            <w:pPr>
              <w:rPr>
                <w:sz w:val="20"/>
                <w:szCs w:val="20"/>
                <w:lang w:val="en-GB" w:eastAsia="en-US"/>
              </w:rPr>
            </w:pPr>
            <w:r w:rsidRPr="001013CE">
              <w:rPr>
                <w:sz w:val="20"/>
                <w:szCs w:val="20"/>
                <w:lang w:val="en-GB" w:eastAsia="en-US"/>
              </w:rPr>
              <w:t>The parenthesis indicates standard errors.</w:t>
            </w:r>
          </w:p>
          <w:p w:rsidR="001013CE" w:rsidRPr="001013CE" w:rsidRDefault="001013CE" w:rsidP="001013CE">
            <w:pPr>
              <w:rPr>
                <w:sz w:val="20"/>
                <w:szCs w:val="20"/>
                <w:lang w:val="en-GB" w:eastAsia="en-US"/>
              </w:rPr>
            </w:pPr>
            <w:r w:rsidRPr="001013CE">
              <w:rPr>
                <w:sz w:val="20"/>
                <w:szCs w:val="20"/>
                <w:lang w:val="en-GB" w:eastAsia="en-US"/>
              </w:rPr>
              <w:t>The Moran I test is computed following the methodology described in section 4.</w:t>
            </w:r>
          </w:p>
          <w:p w:rsidR="001013CE" w:rsidRPr="001013CE" w:rsidRDefault="001013CE" w:rsidP="001013CE">
            <w:pPr>
              <w:rPr>
                <w:sz w:val="20"/>
                <w:szCs w:val="20"/>
                <w:lang w:val="en-GB" w:eastAsia="en-US"/>
              </w:rPr>
            </w:pPr>
            <w:r w:rsidRPr="001013CE">
              <w:rPr>
                <w:sz w:val="20"/>
                <w:szCs w:val="20"/>
                <w:lang w:val="en-GB" w:eastAsia="en-US"/>
              </w:rPr>
              <w:t>***(1%), **(5%), *(10%).</w:t>
            </w:r>
          </w:p>
          <w:p w:rsidR="001013CE" w:rsidRPr="001013CE" w:rsidRDefault="001013CE" w:rsidP="001013CE">
            <w:pPr>
              <w:rPr>
                <w:sz w:val="20"/>
                <w:szCs w:val="20"/>
                <w:lang w:val="en-GB" w:eastAsia="en-US"/>
              </w:rPr>
            </w:pPr>
            <w:r w:rsidRPr="001013CE">
              <w:rPr>
                <w:i/>
                <w:sz w:val="20"/>
                <w:szCs w:val="20"/>
                <w:lang w:val="en-GB" w:eastAsia="en-US"/>
              </w:rPr>
              <w:t>Source</w:t>
            </w:r>
            <w:r w:rsidRPr="001013CE">
              <w:rPr>
                <w:sz w:val="20"/>
                <w:szCs w:val="20"/>
                <w:lang w:val="en-GB" w:eastAsia="en-US"/>
              </w:rPr>
              <w:t>: Author’s estimations.</w:t>
            </w:r>
          </w:p>
        </w:tc>
      </w:tr>
    </w:tbl>
    <w:p w:rsidR="001013CE" w:rsidRPr="001013CE" w:rsidRDefault="001013CE" w:rsidP="001013CE">
      <w:pPr>
        <w:spacing w:before="120" w:after="120" w:line="360" w:lineRule="auto"/>
        <w:ind w:firstLine="357"/>
        <w:jc w:val="both"/>
        <w:rPr>
          <w:rFonts w:eastAsia="Calibri"/>
          <w:sz w:val="22"/>
          <w:szCs w:val="22"/>
          <w:lang w:val="en-GB" w:eastAsia="en-US"/>
        </w:rPr>
      </w:pP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In the SDM (III), the coefficients of human capital, knowledge capital and public capital are significant at 1% level. The parameters estimated for human capital (0.1256) and public capital (0.3966) are very similar to those obtained in the last regression (II). Only the coefficient of knowledge capital (0.1029) is well below the one estimated in regression II. Regarding the spatial terms, the parameter of the spatial lag of the dependent variable is 0.1516, being significant at 10% level, which suggests that productivity spillovers have a certain role in explaining disparities across Spanish regions. The parameter estimated for the spatial lag of the knowledge capital is 0.3826 and is significant at 1% level. This result suggests that knowledge capital spillovers have a strong positive effect, accounting for almost four times the contribution from the variable within the region boundaries, explaining the reduced effect of the accumulated patents within the region.</w:t>
      </w:r>
    </w:p>
    <w:p w:rsidR="001013CE" w:rsidRPr="001013CE" w:rsidRDefault="001013CE" w:rsidP="001013CE">
      <w:pPr>
        <w:spacing w:before="120" w:after="120" w:line="360" w:lineRule="auto"/>
        <w:ind w:firstLine="357"/>
        <w:jc w:val="both"/>
        <w:rPr>
          <w:rFonts w:eastAsia="Calibri"/>
          <w:sz w:val="22"/>
          <w:szCs w:val="22"/>
          <w:lang w:val="en-GB" w:eastAsia="en-US"/>
        </w:rPr>
      </w:pPr>
      <w:r w:rsidRPr="001013CE">
        <w:rPr>
          <w:rFonts w:eastAsia="Calibri"/>
          <w:sz w:val="22"/>
          <w:szCs w:val="22"/>
          <w:lang w:val="en-GB" w:eastAsia="en-US"/>
        </w:rPr>
        <w:t xml:space="preserve">In the case of public capital, the parameter obtained is -0.5088 and is also significant at 1% level. Its sign suggests that public capital spillovers have a negative effect on TFP, while the </w:t>
      </w:r>
      <w:r w:rsidRPr="001013CE">
        <w:rPr>
          <w:rFonts w:eastAsia="Calibri"/>
          <w:sz w:val="22"/>
          <w:szCs w:val="22"/>
          <w:lang w:val="en-GB" w:eastAsia="en-US"/>
        </w:rPr>
        <w:lastRenderedPageBreak/>
        <w:t>impact of the public capital within the region boundaries is positive as shown above. Such relationship is anticipated in the subsection 5.2., where the visual analysis of the map for public capital in Figure 3 reveals a uniform distribution of high values of public capital that contrasts with the relatively low values of this variable displayed by those among the richest in terms of income and productivity, that are geographically separated</w:t>
      </w:r>
      <w:r w:rsidRPr="001013CE">
        <w:rPr>
          <w:rFonts w:eastAsia="Calibri"/>
          <w:sz w:val="22"/>
          <w:szCs w:val="22"/>
          <w:vertAlign w:val="superscript"/>
          <w:lang w:val="en-GB" w:eastAsia="en-US"/>
        </w:rPr>
        <w:footnoteReference w:id="20"/>
      </w:r>
      <w:r w:rsidRPr="001013CE">
        <w:rPr>
          <w:rFonts w:eastAsia="Calibri"/>
          <w:sz w:val="22"/>
          <w:szCs w:val="22"/>
          <w:lang w:val="en-GB" w:eastAsia="en-US"/>
        </w:rPr>
        <w:t>. This result might be reflecting the stablished regional economic policy, which aims to reduce the gap by favouring those areas that lack of resources to develop. To conclude, spatial dependence is successfully controlled in the SDM according to Moran I test results. The I statistic of the residuals is 0.008 (p value is 0.315). Besides, the R</w:t>
      </w:r>
      <w:r w:rsidRPr="001013CE">
        <w:rPr>
          <w:rFonts w:eastAsia="Calibri"/>
          <w:sz w:val="22"/>
          <w:szCs w:val="22"/>
          <w:vertAlign w:val="superscript"/>
          <w:lang w:val="en-GB" w:eastAsia="en-US"/>
        </w:rPr>
        <w:t>2</w:t>
      </w:r>
      <w:r w:rsidRPr="001013CE">
        <w:rPr>
          <w:rFonts w:eastAsia="Calibri"/>
          <w:sz w:val="22"/>
          <w:szCs w:val="22"/>
          <w:lang w:val="en-GB" w:eastAsia="en-US"/>
        </w:rPr>
        <w:t xml:space="preserve"> is the highest of the six regressions in table 6 (0.36).</w:t>
      </w:r>
    </w:p>
    <w:p w:rsidR="001013CE" w:rsidRPr="001013CE" w:rsidRDefault="001013CE" w:rsidP="001013CE">
      <w:pPr>
        <w:spacing w:before="120" w:after="120" w:line="360" w:lineRule="auto"/>
        <w:ind w:firstLine="357"/>
        <w:jc w:val="both"/>
        <w:rPr>
          <w:rFonts w:eastAsia="Calibri"/>
          <w:sz w:val="22"/>
          <w:szCs w:val="22"/>
          <w:lang w:val="en-GB" w:eastAsia="en-US"/>
        </w:rPr>
      </w:pPr>
    </w:p>
    <w:p w:rsidR="001013CE" w:rsidRPr="001013CE" w:rsidRDefault="001013CE" w:rsidP="001013CE">
      <w:pPr>
        <w:keepNext/>
        <w:keepLines/>
        <w:spacing w:before="120" w:after="120" w:line="360" w:lineRule="auto"/>
        <w:jc w:val="both"/>
        <w:outlineLvl w:val="1"/>
        <w:rPr>
          <w:b/>
          <w:color w:val="000000"/>
          <w:szCs w:val="26"/>
          <w:lang w:val="en-GB" w:eastAsia="en-US"/>
        </w:rPr>
      </w:pPr>
      <w:r w:rsidRPr="001013CE">
        <w:rPr>
          <w:b/>
          <w:color w:val="000000"/>
          <w:szCs w:val="26"/>
          <w:lang w:val="en-GB" w:eastAsia="en-US"/>
        </w:rPr>
        <w:t xml:space="preserve">5.3. </w:t>
      </w:r>
      <w:bookmarkStart w:id="25" w:name="_Toc448256140"/>
      <w:r w:rsidRPr="001013CE">
        <w:rPr>
          <w:b/>
          <w:color w:val="000000"/>
          <w:szCs w:val="26"/>
          <w:lang w:val="en-GB" w:eastAsia="en-US"/>
        </w:rPr>
        <w:t>Scope of productivity spillovers in terms of distance</w:t>
      </w:r>
      <w:bookmarkEnd w:id="25"/>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t>In order to assess the scope of spillovers, zeroes can substitute the elements in the weights matrix except those elements included within a certain range according to different distances</w:t>
      </w:r>
      <w:r w:rsidRPr="001013CE">
        <w:rPr>
          <w:rFonts w:eastAsia="Calibri"/>
          <w:sz w:val="22"/>
          <w:szCs w:val="22"/>
          <w:vertAlign w:val="superscript"/>
          <w:lang w:val="en-GB" w:eastAsia="en-US"/>
        </w:rPr>
        <w:footnoteReference w:id="21"/>
      </w:r>
      <w:r w:rsidRPr="001013CE">
        <w:rPr>
          <w:rFonts w:eastAsia="Calibri"/>
          <w:sz w:val="22"/>
          <w:szCs w:val="22"/>
          <w:lang w:val="en-GB" w:eastAsia="en-US"/>
        </w:rPr>
        <w:t xml:space="preserve">. The elements of the weights matrix used in next regression (IV) take value 0 for distances larger than 400 km. On the other hand, the weights included in the regression of column V take value 0 for distances smaller than 400 km. Furthermore, a binary weights matrix is introduced in the last regression (VI), so that the pairs of regions that are strictly contiguous take the value 1, and 0 otherwise. This weight allows to control solely for cross-border spillovers. Although the choices of weights are purely arbitrary, the purpose is to explore the scope of spillovers by trying the different matrices described above and identifying important changes in the estimations. </w:t>
      </w:r>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t>In the three cases, the coefficients estimated for the (not spatially lagged) determinants are fairly similar to those obtained with the full distances. In what respect to the spatial terms, the parameters estimated by the SDM using only distances smaller than 400 km (IV) are only slightly below those in the previous estimation (III) and all of them are significant. However, the results obtained through the matrix built with distances larger than 400 km show important distortions. The most important is the change in the sign of productivity spillovers, which indicates that its impact is positive. The sign of public capital also changes. The spatial lag of knowledge capital, however, keeps the same sign but losses its significance. Moreover, the two variables that present spatial dependence – public capital and knowledge capital – now present higher coefficients for their values observed within the regions. All these facts imply that when the model does not reflect the spatial pattern of spillovers adequately, the contribution from the (not spatially lagged) determinants is overestimated.</w:t>
      </w:r>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lastRenderedPageBreak/>
        <w:t>Finally, the overall impact of cross-border spillovers is slightly behind the effect observed within the 400-km range, with only one exception, knowledge capital. Now the stock of patents produced within the region has no significant effect on the level of TFP. However, the coefficient for knowledge diffusion is now 0.4999, the highest of the six regressions, and it is significant at 1% level. In the last regression (VI), the R</w:t>
      </w:r>
      <w:r w:rsidRPr="001013CE">
        <w:rPr>
          <w:rFonts w:eastAsia="Calibri"/>
          <w:sz w:val="22"/>
          <w:szCs w:val="22"/>
          <w:vertAlign w:val="superscript"/>
          <w:lang w:val="en-GB" w:eastAsia="en-US"/>
        </w:rPr>
        <w:t>2</w:t>
      </w:r>
      <w:r w:rsidRPr="001013CE">
        <w:rPr>
          <w:rFonts w:eastAsia="Calibri"/>
          <w:sz w:val="22"/>
          <w:szCs w:val="22"/>
          <w:lang w:val="en-GB" w:eastAsia="en-US"/>
        </w:rPr>
        <w:t xml:space="preserve"> is the maximum obtained in the analysis of TFP determinants (0.39). The model, however, omits spillovers arising from regions that are not contiguous, but have a significant effect in productivity levels. Besides, in the three regressions the Moran I test fails to reject the null of no spatial autocorrelation, which indicates that the spatial interactions between the variables are successfully controlled. To conclude, the results above suggest that spillovers have their major effects inside the 0-400 km range, particularly most of them take place across the border. The inclusion of distances outside this range is the only case in which extreme changes are observed in the spatial parameters.</w:t>
      </w:r>
    </w:p>
    <w:p w:rsidR="001013CE" w:rsidRPr="001013CE" w:rsidRDefault="001013CE" w:rsidP="001013CE">
      <w:pPr>
        <w:spacing w:before="120" w:after="120" w:line="360" w:lineRule="auto"/>
        <w:ind w:firstLine="360"/>
        <w:jc w:val="both"/>
        <w:rPr>
          <w:rFonts w:eastAsia="Calibri"/>
          <w:sz w:val="22"/>
          <w:szCs w:val="22"/>
          <w:lang w:val="en-GB" w:eastAsia="en-US"/>
        </w:rPr>
      </w:pPr>
    </w:p>
    <w:p w:rsidR="001013CE" w:rsidRPr="001013CE" w:rsidRDefault="001013CE" w:rsidP="001013CE">
      <w:pPr>
        <w:keepNext/>
        <w:keepLines/>
        <w:numPr>
          <w:ilvl w:val="0"/>
          <w:numId w:val="1"/>
        </w:numPr>
        <w:spacing w:before="120" w:after="120" w:line="360" w:lineRule="auto"/>
        <w:jc w:val="both"/>
        <w:outlineLvl w:val="0"/>
        <w:rPr>
          <w:b/>
          <w:color w:val="000000"/>
          <w:szCs w:val="32"/>
          <w:lang w:val="en-GB" w:eastAsia="en-US"/>
        </w:rPr>
      </w:pPr>
      <w:r w:rsidRPr="001013CE">
        <w:rPr>
          <w:b/>
          <w:color w:val="000000"/>
          <w:szCs w:val="32"/>
          <w:lang w:val="en-GB" w:eastAsia="en-US"/>
        </w:rPr>
        <w:t>Final remarks</w:t>
      </w:r>
    </w:p>
    <w:p w:rsidR="001013CE" w:rsidRPr="001013CE" w:rsidRDefault="001013CE" w:rsidP="001013CE">
      <w:pPr>
        <w:spacing w:after="160" w:line="360" w:lineRule="auto"/>
        <w:ind w:firstLine="360"/>
        <w:jc w:val="both"/>
        <w:rPr>
          <w:rFonts w:eastAsia="Calibri"/>
          <w:sz w:val="22"/>
          <w:szCs w:val="22"/>
          <w:lang w:val="en-GB" w:eastAsia="en-US"/>
        </w:rPr>
      </w:pPr>
      <w:r w:rsidRPr="001013CE">
        <w:rPr>
          <w:rFonts w:eastAsia="Calibri"/>
          <w:sz w:val="22"/>
          <w:szCs w:val="22"/>
          <w:lang w:val="en-GB" w:eastAsia="en-US"/>
        </w:rPr>
        <w:t>The investigation above confirms that spatial interactions play a critical role in explaining disparities in per capita income and productivity across the Spanish regions. The main implication from this paper is that the previous empirical analyses of productivity that ignore the impact of geography are likely to overestimate the effect of the region intrinsic characteristics. Moreover, the high significance achieved by the coefficients of the spatially lagged variables suggests that the omission of these terms in the regression might result in inconsistent estimators for either the production function, or the effect of TFP determinants.</w:t>
      </w:r>
    </w:p>
    <w:p w:rsidR="001013CE" w:rsidRPr="001013CE" w:rsidRDefault="001013CE" w:rsidP="001013CE">
      <w:pPr>
        <w:spacing w:after="160" w:line="360" w:lineRule="auto"/>
        <w:ind w:firstLine="360"/>
        <w:jc w:val="both"/>
        <w:rPr>
          <w:rFonts w:eastAsia="Calibri"/>
          <w:sz w:val="22"/>
          <w:szCs w:val="22"/>
          <w:lang w:val="en-GB" w:eastAsia="en-US"/>
        </w:rPr>
      </w:pPr>
      <w:r w:rsidRPr="001013CE">
        <w:rPr>
          <w:rFonts w:eastAsia="Calibri"/>
          <w:sz w:val="22"/>
          <w:szCs w:val="22"/>
          <w:lang w:val="en-GB" w:eastAsia="en-US"/>
        </w:rPr>
        <w:t>The estimates of the production function are subject to strong and significant spatial patterns, particularly at the smallest level of administrative aggregation. The estimated contribution of value added spillovers to regional output is greater than the combined effect of the inputs –capital and labour– accumulated within a region. Moreover, the effect of the stock of capital in neighbouring areas is nearly twice as large the contribution of capital located within the region boundaries. The main implication of this point is that the factors situated outside a certain region are responsible of more than a half of its production. Regarding the analysis of the determinants, the results suggest that productivity spillovers have a certain role in explaining inequalities across the Spanish regions. In addition, the diffusion of knowledge is revealed as the main determinant. To conclude, the addition of spatial interactions to the empirical analysis of productivity is crucial to understand the existing differences across the Spanish territory.</w:t>
      </w:r>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t xml:space="preserve">This paper is the first approach to the analysis of regional productivity in Spain using Spatial Lag models. However, there are still some important topics that need for further research. The main challenge is to carry out a similar analysis but disaggregated across sectors. It would provide a valuable insight about the possible changes in the behaviour of spatial interactions in relation to </w:t>
      </w:r>
      <w:r w:rsidRPr="001013CE">
        <w:rPr>
          <w:rFonts w:eastAsia="Calibri"/>
          <w:sz w:val="22"/>
          <w:szCs w:val="22"/>
          <w:lang w:val="en-GB" w:eastAsia="en-US"/>
        </w:rPr>
        <w:lastRenderedPageBreak/>
        <w:t>the different economic activities, which is still totally unexplored. Furthermore, the present study takes into account three important determinants of TFP, but much of the regional differences in TFP are still unexplained. The methods presented in this master thesis allow the researcher to estimate the impact of different factors such as international trade, R&amp;D expenditure or social capital. Lastly, one important question that is left unresolved</w:t>
      </w:r>
      <w:r w:rsidRPr="001013CE" w:rsidDel="00D36E43">
        <w:rPr>
          <w:rFonts w:eastAsia="Calibri"/>
          <w:sz w:val="22"/>
          <w:szCs w:val="22"/>
          <w:lang w:val="en-GB" w:eastAsia="en-US"/>
        </w:rPr>
        <w:t xml:space="preserve"> </w:t>
      </w:r>
      <w:r w:rsidRPr="001013CE">
        <w:rPr>
          <w:rFonts w:eastAsia="Calibri"/>
          <w:sz w:val="22"/>
          <w:szCs w:val="22"/>
          <w:lang w:val="en-GB" w:eastAsia="en-US"/>
        </w:rPr>
        <w:t>is whether the current spatial patterns are affected by the economic crisis. In such case, the sample would necessarily cover the latest years resulting in the reduction of the number of observations due to the length of the series available.</w:t>
      </w:r>
    </w:p>
    <w:p w:rsidR="001013CE" w:rsidRPr="001013CE" w:rsidRDefault="001013CE" w:rsidP="001013CE">
      <w:pPr>
        <w:spacing w:before="120" w:after="120" w:line="360" w:lineRule="auto"/>
        <w:ind w:firstLine="357"/>
        <w:jc w:val="both"/>
        <w:rPr>
          <w:rFonts w:eastAsia="Calibri"/>
          <w:sz w:val="22"/>
          <w:szCs w:val="22"/>
          <w:lang w:val="en-GB" w:eastAsia="en-US"/>
        </w:rPr>
      </w:pPr>
    </w:p>
    <w:p w:rsidR="001013CE" w:rsidRPr="001013CE" w:rsidRDefault="001013CE" w:rsidP="001013CE">
      <w:pPr>
        <w:spacing w:after="160" w:line="259" w:lineRule="auto"/>
        <w:rPr>
          <w:b/>
          <w:color w:val="000000"/>
          <w:szCs w:val="32"/>
          <w:lang w:val="en-GB" w:eastAsia="en-US"/>
        </w:rPr>
      </w:pPr>
      <w:r w:rsidRPr="001013CE">
        <w:rPr>
          <w:rFonts w:eastAsia="Calibri"/>
          <w:b/>
          <w:sz w:val="22"/>
          <w:lang w:val="en-GB" w:eastAsia="en-US"/>
        </w:rPr>
        <w:br w:type="page"/>
      </w:r>
      <w:bookmarkStart w:id="26" w:name="_Toc448256142"/>
      <w:r w:rsidRPr="001013CE">
        <w:rPr>
          <w:b/>
          <w:color w:val="000000"/>
          <w:szCs w:val="32"/>
          <w:lang w:val="en-GB" w:eastAsia="en-US"/>
        </w:rPr>
        <w:lastRenderedPageBreak/>
        <w:t>References</w:t>
      </w:r>
      <w:bookmarkEnd w:id="26"/>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Anselin, L. (2001). Spatial econometrics. In Baltagi, B., (Ed.), </w:t>
      </w:r>
      <w:r w:rsidRPr="001013CE">
        <w:rPr>
          <w:rFonts w:eastAsia="Calibri"/>
          <w:i/>
          <w:sz w:val="22"/>
          <w:szCs w:val="22"/>
          <w:lang w:val="en-GB" w:eastAsia="en-US"/>
        </w:rPr>
        <w:t>A Companion to Theoretical Econometrics</w:t>
      </w:r>
      <w:r w:rsidRPr="001013CE">
        <w:rPr>
          <w:rFonts w:eastAsia="Calibri"/>
          <w:sz w:val="22"/>
          <w:szCs w:val="22"/>
          <w:lang w:val="en-GB" w:eastAsia="en-US"/>
        </w:rPr>
        <w:t xml:space="preserve"> (pp. 310–330, Ch. 14). Oxford: Blackwell.</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Anselin, L. (2003). Spatial externalities, spatial multipliers, and spatial econometrics. </w:t>
      </w:r>
      <w:r w:rsidRPr="001013CE">
        <w:rPr>
          <w:rFonts w:eastAsia="Calibri"/>
          <w:i/>
          <w:iCs/>
          <w:sz w:val="22"/>
          <w:szCs w:val="22"/>
          <w:lang w:val="en-GB" w:eastAsia="en-US"/>
        </w:rPr>
        <w:t>International regional science review</w:t>
      </w:r>
      <w:r w:rsidRPr="001013CE">
        <w:rPr>
          <w:rFonts w:eastAsia="Calibri"/>
          <w:sz w:val="22"/>
          <w:szCs w:val="22"/>
          <w:lang w:val="en-GB" w:eastAsia="en-US"/>
        </w:rPr>
        <w:t>, </w:t>
      </w:r>
      <w:r w:rsidRPr="001013CE">
        <w:rPr>
          <w:rFonts w:eastAsia="Calibri"/>
          <w:iCs/>
          <w:sz w:val="22"/>
          <w:szCs w:val="22"/>
          <w:lang w:val="en-GB" w:eastAsia="en-US"/>
        </w:rPr>
        <w:t>26</w:t>
      </w:r>
      <w:r w:rsidRPr="001013CE">
        <w:rPr>
          <w:rFonts w:eastAsia="Calibri"/>
          <w:sz w:val="22"/>
          <w:szCs w:val="22"/>
          <w:lang w:val="en-GB" w:eastAsia="en-US"/>
        </w:rPr>
        <w:t>(2), pp. 153-166.</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Anselin, L. (2010). Thirty years of spatial econometrics. </w:t>
      </w:r>
      <w:r w:rsidRPr="001013CE">
        <w:rPr>
          <w:rFonts w:eastAsia="Calibri"/>
          <w:i/>
          <w:sz w:val="22"/>
          <w:szCs w:val="22"/>
          <w:lang w:val="en-GB" w:eastAsia="en-US"/>
        </w:rPr>
        <w:t>Papers in regional science</w:t>
      </w:r>
      <w:r w:rsidRPr="001013CE">
        <w:rPr>
          <w:rFonts w:eastAsia="Calibri"/>
          <w:sz w:val="22"/>
          <w:szCs w:val="22"/>
          <w:lang w:val="en-GB" w:eastAsia="en-US"/>
        </w:rPr>
        <w:t>, 89(1), pp. 3-25.</w:t>
      </w:r>
    </w:p>
    <w:p w:rsidR="001013CE" w:rsidRPr="001013CE" w:rsidRDefault="001013CE" w:rsidP="001013CE">
      <w:pPr>
        <w:spacing w:before="120" w:after="120" w:line="360" w:lineRule="auto"/>
        <w:ind w:left="284" w:hanging="284"/>
        <w:jc w:val="both"/>
        <w:rPr>
          <w:sz w:val="22"/>
          <w:szCs w:val="22"/>
          <w:lang w:val="en-GB" w:eastAsia="en-US"/>
        </w:rPr>
      </w:pPr>
      <w:r w:rsidRPr="001013CE">
        <w:rPr>
          <w:color w:val="222222"/>
          <w:sz w:val="22"/>
          <w:szCs w:val="22"/>
          <w:shd w:val="clear" w:color="auto" w:fill="FFFFFF"/>
          <w:lang w:val="en-GB" w:eastAsia="en-US"/>
        </w:rPr>
        <w:t>Arbia, G. (2006). </w:t>
      </w:r>
      <w:r w:rsidRPr="001013CE">
        <w:rPr>
          <w:i/>
          <w:iCs/>
          <w:color w:val="222222"/>
          <w:sz w:val="22"/>
          <w:szCs w:val="22"/>
          <w:shd w:val="clear" w:color="auto" w:fill="FFFFFF"/>
          <w:lang w:val="en-GB" w:eastAsia="en-US"/>
        </w:rPr>
        <w:t>Spatial econometrics: statistical foundations and applications to regional convergence</w:t>
      </w:r>
      <w:r w:rsidRPr="001013CE">
        <w:rPr>
          <w:color w:val="222222"/>
          <w:sz w:val="22"/>
          <w:szCs w:val="22"/>
          <w:shd w:val="clear" w:color="auto" w:fill="FFFFFF"/>
          <w:lang w:val="en-GB" w:eastAsia="en-US"/>
        </w:rPr>
        <w:t>. Berlin, Heidelberg: Springer.</w:t>
      </w:r>
    </w:p>
    <w:p w:rsidR="001013CE" w:rsidRPr="001013CE" w:rsidRDefault="001013CE" w:rsidP="001013CE">
      <w:pPr>
        <w:spacing w:before="120" w:after="120" w:line="360" w:lineRule="auto"/>
        <w:ind w:left="284" w:hanging="284"/>
        <w:jc w:val="both"/>
        <w:rPr>
          <w:sz w:val="22"/>
          <w:szCs w:val="22"/>
          <w:lang w:val="en-GB" w:eastAsia="en-US"/>
        </w:rPr>
      </w:pPr>
      <w:r w:rsidRPr="001013CE">
        <w:rPr>
          <w:color w:val="222222"/>
          <w:sz w:val="22"/>
          <w:szCs w:val="22"/>
          <w:shd w:val="clear" w:color="auto" w:fill="FFFFFF"/>
          <w:lang w:val="en-GB" w:eastAsia="en-US"/>
        </w:rPr>
        <w:t>Arbia, G., &amp; Fingleton, B. (2008). New spatial econometric techniques and applications in regional science. </w:t>
      </w:r>
      <w:r w:rsidRPr="001013CE">
        <w:rPr>
          <w:i/>
          <w:iCs/>
          <w:color w:val="222222"/>
          <w:sz w:val="22"/>
          <w:szCs w:val="22"/>
          <w:shd w:val="clear" w:color="auto" w:fill="FFFFFF"/>
          <w:lang w:val="en-GB" w:eastAsia="en-US"/>
        </w:rPr>
        <w:t>Papers in Regional Science</w:t>
      </w:r>
      <w:r w:rsidRPr="001013CE">
        <w:rPr>
          <w:color w:val="222222"/>
          <w:sz w:val="22"/>
          <w:szCs w:val="22"/>
          <w:shd w:val="clear" w:color="auto" w:fill="FFFFFF"/>
          <w:lang w:val="en-GB" w:eastAsia="en-US"/>
        </w:rPr>
        <w:t>, </w:t>
      </w:r>
      <w:r w:rsidRPr="001013CE">
        <w:rPr>
          <w:iCs/>
          <w:color w:val="222222"/>
          <w:sz w:val="22"/>
          <w:szCs w:val="22"/>
          <w:shd w:val="clear" w:color="auto" w:fill="FFFFFF"/>
          <w:lang w:val="en-GB" w:eastAsia="en-US"/>
        </w:rPr>
        <w:t>87</w:t>
      </w:r>
      <w:r w:rsidRPr="001013CE">
        <w:rPr>
          <w:color w:val="222222"/>
          <w:sz w:val="22"/>
          <w:szCs w:val="22"/>
          <w:shd w:val="clear" w:color="auto" w:fill="FFFFFF"/>
          <w:lang w:val="en-GB" w:eastAsia="en-US"/>
        </w:rPr>
        <w:t>(3), pp. 311-317.</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Ascari, G., &amp; Di Cosmo, V. (2005). Determinants of total factor productivity in the Italian regions. </w:t>
      </w:r>
      <w:r w:rsidRPr="001013CE">
        <w:rPr>
          <w:rFonts w:eastAsia="Calibri"/>
          <w:i/>
          <w:iCs/>
          <w:sz w:val="22"/>
          <w:szCs w:val="22"/>
          <w:lang w:val="en-GB" w:eastAsia="en-US"/>
        </w:rPr>
        <w:t>Scienze Regi</w:t>
      </w:r>
      <w:r w:rsidRPr="001013CE">
        <w:rPr>
          <w:rFonts w:eastAsia="Calibri"/>
          <w:iCs/>
          <w:sz w:val="22"/>
          <w:szCs w:val="22"/>
          <w:lang w:val="en-GB" w:eastAsia="en-US"/>
        </w:rPr>
        <w:t xml:space="preserve">onali </w:t>
      </w:r>
      <w:r w:rsidRPr="001013CE">
        <w:rPr>
          <w:rFonts w:eastAsia="Calibri"/>
          <w:i/>
          <w:sz w:val="22"/>
          <w:szCs w:val="22"/>
          <w:lang w:val="en-GB" w:eastAsia="en-US"/>
        </w:rPr>
        <w:t xml:space="preserve">- Italian Journal of Regional Science, </w:t>
      </w:r>
      <w:r w:rsidRPr="001013CE">
        <w:rPr>
          <w:rFonts w:eastAsia="Calibri"/>
          <w:sz w:val="22"/>
          <w:szCs w:val="22"/>
          <w:lang w:val="en-GB" w:eastAsia="en-US"/>
        </w:rPr>
        <w:t>4(2), pp. 27–49.</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Aschauer, D. A. (1989). Is public expenditure productive? </w:t>
      </w:r>
      <w:r w:rsidRPr="001013CE">
        <w:rPr>
          <w:rFonts w:eastAsia="Calibri"/>
          <w:i/>
          <w:iCs/>
          <w:sz w:val="22"/>
          <w:szCs w:val="22"/>
          <w:lang w:val="en-GB" w:eastAsia="en-US"/>
        </w:rPr>
        <w:t>Journal of monetary economics</w:t>
      </w:r>
      <w:r w:rsidRPr="001013CE">
        <w:rPr>
          <w:rFonts w:eastAsia="Calibri"/>
          <w:sz w:val="22"/>
          <w:szCs w:val="22"/>
          <w:lang w:val="en-GB" w:eastAsia="en-US"/>
        </w:rPr>
        <w:t>, </w:t>
      </w:r>
      <w:r w:rsidRPr="001013CE">
        <w:rPr>
          <w:rFonts w:eastAsia="Calibri"/>
          <w:iCs/>
          <w:sz w:val="22"/>
          <w:szCs w:val="22"/>
          <w:lang w:val="en-GB" w:eastAsia="en-US"/>
        </w:rPr>
        <w:t>23</w:t>
      </w:r>
      <w:r w:rsidRPr="001013CE">
        <w:rPr>
          <w:rFonts w:eastAsia="Calibri"/>
          <w:sz w:val="22"/>
          <w:szCs w:val="22"/>
          <w:lang w:val="en-GB" w:eastAsia="en-US"/>
        </w:rPr>
        <w:t>(2), pp. 177-200.</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Baltagi, B. (2013). </w:t>
      </w:r>
      <w:r w:rsidRPr="001013CE">
        <w:rPr>
          <w:rFonts w:eastAsia="Calibri"/>
          <w:i/>
          <w:sz w:val="22"/>
          <w:szCs w:val="22"/>
          <w:lang w:val="en-GB" w:eastAsia="en-US"/>
        </w:rPr>
        <w:t>Econometric analysis of panel data</w:t>
      </w:r>
      <w:r w:rsidRPr="001013CE">
        <w:rPr>
          <w:rFonts w:eastAsia="Calibri"/>
          <w:sz w:val="22"/>
          <w:szCs w:val="22"/>
          <w:lang w:val="en-GB" w:eastAsia="en-US"/>
        </w:rPr>
        <w:t>. New York: Wiley.</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Bancaja Foundation and IVIE (2014). </w:t>
      </w:r>
      <w:r w:rsidRPr="001013CE">
        <w:rPr>
          <w:rFonts w:eastAsia="Calibri"/>
          <w:sz w:val="22"/>
          <w:szCs w:val="22"/>
          <w:lang w:eastAsia="en-US"/>
        </w:rPr>
        <w:t xml:space="preserve">Capital Humano en España y su distribución provincial. </w:t>
      </w:r>
      <w:r w:rsidRPr="001013CE">
        <w:rPr>
          <w:rFonts w:eastAsia="Calibri"/>
          <w:sz w:val="22"/>
          <w:szCs w:val="22"/>
          <w:lang w:val="en-GB" w:eastAsia="en-US"/>
        </w:rPr>
        <w:t>Retrieved from IVE website: http://www.ivie.es/en/banco/caphum/series.php</w:t>
      </w:r>
    </w:p>
    <w:p w:rsidR="001013CE" w:rsidRPr="001013CE" w:rsidRDefault="001013CE" w:rsidP="001013CE">
      <w:pPr>
        <w:spacing w:before="120" w:after="120" w:line="360" w:lineRule="auto"/>
        <w:ind w:left="284" w:hanging="284"/>
        <w:jc w:val="both"/>
        <w:rPr>
          <w:sz w:val="22"/>
          <w:szCs w:val="22"/>
          <w:lang w:val="en-GB" w:eastAsia="en-US"/>
        </w:rPr>
      </w:pPr>
      <w:r w:rsidRPr="001013CE">
        <w:rPr>
          <w:sz w:val="22"/>
          <w:szCs w:val="22"/>
          <w:lang w:val="en-GB" w:eastAsia="en-US"/>
        </w:rPr>
        <w:t xml:space="preserve">BBVA Foundation and IVIE (2015a). </w:t>
      </w:r>
      <w:r w:rsidRPr="001013CE">
        <w:rPr>
          <w:sz w:val="22"/>
          <w:szCs w:val="22"/>
          <w:lang w:eastAsia="en-US"/>
        </w:rPr>
        <w:t>El </w:t>
      </w:r>
      <w:r w:rsidRPr="001013CE">
        <w:rPr>
          <w:i/>
          <w:iCs/>
          <w:sz w:val="22"/>
          <w:szCs w:val="22"/>
          <w:lang w:eastAsia="en-US"/>
        </w:rPr>
        <w:t>stock</w:t>
      </w:r>
      <w:r w:rsidRPr="001013CE">
        <w:rPr>
          <w:sz w:val="22"/>
          <w:szCs w:val="22"/>
          <w:lang w:eastAsia="en-US"/>
        </w:rPr>
        <w:t xml:space="preserve"> y los servicios del capital en España y su distribución territorial y sectorial (1964-2013). </w:t>
      </w:r>
      <w:r w:rsidRPr="001013CE">
        <w:rPr>
          <w:rFonts w:eastAsia="Calibri"/>
          <w:sz w:val="22"/>
          <w:szCs w:val="22"/>
          <w:lang w:val="en-GB" w:eastAsia="en-US"/>
        </w:rPr>
        <w:t>Retrieved from Fundación BBVA website</w:t>
      </w:r>
      <w:r w:rsidRPr="001013CE">
        <w:rPr>
          <w:sz w:val="22"/>
          <w:szCs w:val="22"/>
          <w:lang w:val="en-GB" w:eastAsia="en-US"/>
        </w:rPr>
        <w:t xml:space="preserve">: </w:t>
      </w:r>
      <w:hyperlink r:id="rId18" w:history="1">
        <w:r w:rsidRPr="001013CE">
          <w:rPr>
            <w:rFonts w:eastAsia="Calibri"/>
            <w:sz w:val="22"/>
            <w:szCs w:val="22"/>
            <w:lang w:val="en-GB" w:eastAsia="en-US"/>
          </w:rPr>
          <w:t>http://www.fbbva.es/TLFU/microsites/stock09/fbbva_stock08_index.html</w:t>
        </w:r>
      </w:hyperlink>
      <w:r w:rsidRPr="001013CE">
        <w:rPr>
          <w:sz w:val="22"/>
          <w:szCs w:val="22"/>
          <w:lang w:val="en-GB" w:eastAsia="en-US"/>
        </w:rPr>
        <w:t>.</w:t>
      </w:r>
    </w:p>
    <w:p w:rsidR="001013CE" w:rsidRPr="001013CE" w:rsidRDefault="001013CE" w:rsidP="001013CE">
      <w:pPr>
        <w:spacing w:before="120" w:after="120" w:line="360" w:lineRule="auto"/>
        <w:ind w:left="284" w:hanging="284"/>
        <w:jc w:val="both"/>
        <w:rPr>
          <w:sz w:val="22"/>
          <w:szCs w:val="22"/>
          <w:lang w:val="en-GB" w:eastAsia="en-US"/>
        </w:rPr>
      </w:pPr>
      <w:r w:rsidRPr="001013CE">
        <w:rPr>
          <w:sz w:val="22"/>
          <w:szCs w:val="22"/>
          <w:lang w:val="en-GB" w:eastAsia="en-US"/>
        </w:rPr>
        <w:t xml:space="preserve">BBVA Foundation and IVIE (2015b). </w:t>
      </w:r>
      <w:r w:rsidRPr="001013CE">
        <w:rPr>
          <w:sz w:val="22"/>
          <w:szCs w:val="22"/>
          <w:lang w:eastAsia="en-US"/>
        </w:rPr>
        <w:t xml:space="preserve">Series históricas de capital público en España y su distribución territorial (1900-2012). </w:t>
      </w:r>
      <w:r w:rsidRPr="001013CE">
        <w:rPr>
          <w:rFonts w:eastAsia="Calibri"/>
          <w:sz w:val="22"/>
          <w:szCs w:val="22"/>
          <w:lang w:val="en-GB" w:eastAsia="en-US"/>
        </w:rPr>
        <w:t>Retrieved from Fundación BBVA website</w:t>
      </w:r>
      <w:r w:rsidRPr="001013CE">
        <w:rPr>
          <w:sz w:val="22"/>
          <w:szCs w:val="22"/>
          <w:lang w:val="en-GB" w:eastAsia="en-US"/>
        </w:rPr>
        <w:t>: http://www.fbbva.es/TLFU/tlfu/esp/areas/econosoc/bbdd/Capital_Publico.jsp.</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Belotti, F., Hughes, G., &amp; Mortari, A. P. (2013). XSMLE: Stata module for spatial panel data models estimation, Statistical Software Components S457610, Boston College Department of Economics.</w:t>
      </w:r>
    </w:p>
    <w:p w:rsidR="001013CE" w:rsidRPr="001013CE" w:rsidRDefault="001013CE" w:rsidP="001013CE">
      <w:pPr>
        <w:spacing w:before="120" w:after="120" w:line="360" w:lineRule="auto"/>
        <w:ind w:left="284" w:hanging="284"/>
        <w:jc w:val="both"/>
        <w:rPr>
          <w:color w:val="222222"/>
          <w:sz w:val="22"/>
          <w:szCs w:val="22"/>
          <w:shd w:val="clear" w:color="auto" w:fill="FFFFFF"/>
          <w:lang w:val="en-GB" w:eastAsia="en-US"/>
        </w:rPr>
      </w:pPr>
      <w:r w:rsidRPr="001013CE">
        <w:rPr>
          <w:color w:val="222222"/>
          <w:sz w:val="22"/>
          <w:szCs w:val="22"/>
          <w:shd w:val="clear" w:color="auto" w:fill="FFFFFF"/>
          <w:lang w:val="en-GB" w:eastAsia="en-US"/>
        </w:rPr>
        <w:t>Bos, M., Goderis, B., &amp; Vannoorenberghe, G. (2014). Inter-industry Total Factor Productivity Spillovers in India (June, 2014). DFID Working Papers. Retrieved from Tilburg University webpage: https://pure.uvt.nl/portal/en/publications/interindustry-total-factor-productivity-spillovers-in-india(4ce3fbe6-8aee-4255-af6a-eb8f847e73d5).html.</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Bronzini, R., &amp; Piselli, P. (2009). Determinants of long-run regional productivity with geographical spillovers: the role of R&amp;D, human capital and public infrastructure. </w:t>
      </w:r>
      <w:r w:rsidRPr="001013CE">
        <w:rPr>
          <w:rFonts w:eastAsia="Calibri"/>
          <w:i/>
          <w:sz w:val="22"/>
          <w:szCs w:val="22"/>
          <w:lang w:val="en-GB" w:eastAsia="en-US"/>
        </w:rPr>
        <w:t>Regional Science and Urban Economics</w:t>
      </w:r>
      <w:r w:rsidRPr="001013CE">
        <w:rPr>
          <w:rFonts w:eastAsia="Calibri"/>
          <w:sz w:val="22"/>
          <w:szCs w:val="22"/>
          <w:lang w:val="en-GB" w:eastAsia="en-US"/>
        </w:rPr>
        <w:t>, 39(2), pp. 187-199.</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lastRenderedPageBreak/>
        <w:t xml:space="preserve">Caselli, F. (2005). Accounting for cross-country income differences. In: Durlauf, S., &amp; Aghion, P. (Eds.). (2005). </w:t>
      </w:r>
      <w:r w:rsidRPr="001013CE">
        <w:rPr>
          <w:rFonts w:eastAsia="Calibri"/>
          <w:i/>
          <w:sz w:val="22"/>
          <w:szCs w:val="22"/>
          <w:lang w:val="en-GB" w:eastAsia="en-US"/>
        </w:rPr>
        <w:t xml:space="preserve">Handbook of economic growth </w:t>
      </w:r>
      <w:r w:rsidRPr="001013CE">
        <w:rPr>
          <w:rFonts w:eastAsia="Calibri"/>
          <w:sz w:val="22"/>
          <w:szCs w:val="22"/>
          <w:lang w:val="en-GB" w:eastAsia="en-US"/>
        </w:rPr>
        <w:t xml:space="preserve">(pp. 679-741, Ch. 9). Amsterdam: Elsevier. </w:t>
      </w:r>
    </w:p>
    <w:p w:rsidR="001013CE" w:rsidRPr="001013CE" w:rsidRDefault="001013CE" w:rsidP="001013CE">
      <w:pPr>
        <w:spacing w:before="120" w:after="120" w:line="360" w:lineRule="auto"/>
        <w:ind w:left="284" w:hanging="284"/>
        <w:jc w:val="both"/>
        <w:rPr>
          <w:rFonts w:eastAsia="Calibri"/>
          <w:sz w:val="22"/>
          <w:szCs w:val="22"/>
          <w:lang w:eastAsia="en-US"/>
        </w:rPr>
      </w:pPr>
      <w:r w:rsidRPr="001013CE">
        <w:rPr>
          <w:rFonts w:eastAsia="Calibri"/>
          <w:sz w:val="22"/>
          <w:szCs w:val="22"/>
          <w:lang w:val="en-GB" w:eastAsia="en-US"/>
        </w:rPr>
        <w:t xml:space="preserve">Comin, D. (2006). Total factor productivity. In: Durlauf, S. N., &amp; Blume, L. (Eds.), The new Palgrave dictionary of economics. </w:t>
      </w:r>
      <w:r w:rsidRPr="001013CE">
        <w:rPr>
          <w:rFonts w:eastAsia="Calibri"/>
          <w:sz w:val="22"/>
          <w:szCs w:val="22"/>
          <w:lang w:eastAsia="en-US"/>
        </w:rPr>
        <w:t>Hampshire, U.K.: Palgrave Macmillan, 2008.</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eastAsia="en-US"/>
        </w:rPr>
        <w:t xml:space="preserve">Cuadrado, J. R., &amp; Maroto, A. (2012). </w:t>
      </w:r>
      <w:r w:rsidRPr="001013CE">
        <w:rPr>
          <w:rFonts w:eastAsia="Calibri"/>
          <w:i/>
          <w:sz w:val="22"/>
          <w:szCs w:val="22"/>
          <w:lang w:eastAsia="en-US"/>
        </w:rPr>
        <w:t>El problema de la productividad en España: causas estructurales, cíclicas y sectoriales</w:t>
      </w:r>
      <w:r w:rsidRPr="001013CE">
        <w:rPr>
          <w:rFonts w:eastAsia="Calibri"/>
          <w:sz w:val="22"/>
          <w:szCs w:val="22"/>
          <w:lang w:eastAsia="en-US"/>
        </w:rPr>
        <w:t xml:space="preserve">. </w:t>
      </w:r>
      <w:r w:rsidRPr="001013CE">
        <w:rPr>
          <w:rFonts w:eastAsia="Calibri"/>
          <w:sz w:val="22"/>
          <w:szCs w:val="22"/>
          <w:lang w:val="en-GB" w:eastAsia="en-US"/>
        </w:rPr>
        <w:t>Madrid: FUNCAS.</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De la Fuente, A. (2002). On the sources of convergence: A close look at the Spanish regions. </w:t>
      </w:r>
      <w:r w:rsidRPr="001013CE">
        <w:rPr>
          <w:rFonts w:eastAsia="Calibri"/>
          <w:i/>
          <w:iCs/>
          <w:sz w:val="22"/>
          <w:szCs w:val="22"/>
          <w:lang w:val="en-GB" w:eastAsia="en-US"/>
        </w:rPr>
        <w:t>European Economic Review</w:t>
      </w:r>
      <w:r w:rsidRPr="001013CE">
        <w:rPr>
          <w:rFonts w:eastAsia="Calibri"/>
          <w:sz w:val="22"/>
          <w:szCs w:val="22"/>
          <w:lang w:val="en-GB" w:eastAsia="en-US"/>
        </w:rPr>
        <w:t>, </w:t>
      </w:r>
      <w:r w:rsidRPr="001013CE">
        <w:rPr>
          <w:rFonts w:eastAsia="Calibri"/>
          <w:iCs/>
          <w:sz w:val="22"/>
          <w:szCs w:val="22"/>
          <w:lang w:val="en-GB" w:eastAsia="en-US"/>
        </w:rPr>
        <w:t>46</w:t>
      </w:r>
      <w:r w:rsidRPr="001013CE">
        <w:rPr>
          <w:rFonts w:eastAsia="Calibri"/>
          <w:sz w:val="22"/>
          <w:szCs w:val="22"/>
          <w:lang w:val="en-GB" w:eastAsia="en-US"/>
        </w:rPr>
        <w:t>(3), pp. 569-599.</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Dettori, B., Marrocu, E., &amp; Paci, R. (2012). Total factor productivity, intangible assets and spatial dependence in the European regions. </w:t>
      </w:r>
      <w:r w:rsidRPr="001013CE">
        <w:rPr>
          <w:rFonts w:eastAsia="Calibri"/>
          <w:i/>
          <w:iCs/>
          <w:sz w:val="22"/>
          <w:szCs w:val="22"/>
          <w:lang w:val="en-GB" w:eastAsia="en-US"/>
        </w:rPr>
        <w:t>Regional Studies</w:t>
      </w:r>
      <w:r w:rsidRPr="001013CE">
        <w:rPr>
          <w:rFonts w:eastAsia="Calibri"/>
          <w:sz w:val="22"/>
          <w:szCs w:val="22"/>
          <w:lang w:val="en-GB" w:eastAsia="en-US"/>
        </w:rPr>
        <w:t xml:space="preserve">, </w:t>
      </w:r>
      <w:r w:rsidRPr="001013CE">
        <w:rPr>
          <w:rFonts w:eastAsia="Calibri"/>
          <w:iCs/>
          <w:sz w:val="22"/>
          <w:szCs w:val="22"/>
          <w:lang w:val="en-GB" w:eastAsia="en-US"/>
        </w:rPr>
        <w:t>46</w:t>
      </w:r>
      <w:r w:rsidRPr="001013CE">
        <w:rPr>
          <w:rFonts w:eastAsia="Calibri"/>
          <w:sz w:val="22"/>
          <w:szCs w:val="22"/>
          <w:lang w:val="en-GB" w:eastAsia="en-US"/>
        </w:rPr>
        <w:t>(10), pp. 1401-1416.</w:t>
      </w:r>
    </w:p>
    <w:p w:rsidR="001013CE" w:rsidRPr="001013CE" w:rsidRDefault="001013CE" w:rsidP="001013CE">
      <w:pPr>
        <w:spacing w:before="120" w:after="120" w:line="360" w:lineRule="auto"/>
        <w:ind w:left="284" w:hanging="284"/>
        <w:jc w:val="both"/>
        <w:rPr>
          <w:rFonts w:eastAsia="Calibri"/>
          <w:color w:val="000000"/>
          <w:sz w:val="22"/>
          <w:szCs w:val="22"/>
          <w:lang w:eastAsia="en-US"/>
        </w:rPr>
      </w:pPr>
      <w:r w:rsidRPr="001013CE">
        <w:rPr>
          <w:rFonts w:eastAsia="Calibri"/>
          <w:color w:val="000000"/>
          <w:sz w:val="22"/>
          <w:szCs w:val="22"/>
          <w:lang w:val="en-GB" w:eastAsia="en-US"/>
        </w:rPr>
        <w:t xml:space="preserve">Di Liberto, A., &amp; Usai, S. (2013). TFP Convergence Across European Regions: A Comparative Spatial Dynamics Analysis. In: Crescenzi, R., &amp; Percoco, M. (Eds.). </w:t>
      </w:r>
      <w:r w:rsidRPr="001013CE">
        <w:rPr>
          <w:rFonts w:eastAsia="Calibri"/>
          <w:i/>
          <w:iCs/>
          <w:color w:val="000000"/>
          <w:sz w:val="22"/>
          <w:szCs w:val="22"/>
          <w:lang w:val="en-GB" w:eastAsia="en-US"/>
        </w:rPr>
        <w:t>Geography, Institutions and Regional Economic Performance</w:t>
      </w:r>
      <w:r w:rsidRPr="001013CE">
        <w:rPr>
          <w:rFonts w:eastAsia="Calibri"/>
          <w:color w:val="000000"/>
          <w:sz w:val="22"/>
          <w:szCs w:val="22"/>
          <w:lang w:val="en-GB" w:eastAsia="en-US"/>
        </w:rPr>
        <w:t xml:space="preserve"> (pp. 39-58, Ch. 3). </w:t>
      </w:r>
      <w:r w:rsidRPr="001013CE">
        <w:rPr>
          <w:rFonts w:eastAsia="Calibri"/>
          <w:color w:val="000000"/>
          <w:sz w:val="22"/>
          <w:szCs w:val="22"/>
          <w:lang w:eastAsia="en-US"/>
        </w:rPr>
        <w:t>Berlin, Heidelberg: Springer.</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sidDel="00CE49E9">
        <w:rPr>
          <w:rFonts w:eastAsia="Calibri"/>
          <w:sz w:val="22"/>
          <w:szCs w:val="22"/>
          <w:lang w:eastAsia="en-US"/>
        </w:rPr>
        <w:t xml:space="preserve"> </w:t>
      </w:r>
      <w:r w:rsidRPr="001013CE">
        <w:rPr>
          <w:rFonts w:eastAsia="Calibri"/>
          <w:sz w:val="22"/>
          <w:szCs w:val="22"/>
          <w:lang w:eastAsia="en-US"/>
        </w:rPr>
        <w:t xml:space="preserve">Doménech, R. (2008). </w:t>
      </w:r>
      <w:r w:rsidRPr="001013CE">
        <w:rPr>
          <w:rFonts w:eastAsia="Calibri"/>
          <w:i/>
          <w:sz w:val="22"/>
          <w:szCs w:val="22"/>
          <w:lang w:eastAsia="en-US"/>
        </w:rPr>
        <w:t>La evolución de la productividad en España y el capital humano</w:t>
      </w:r>
      <w:r w:rsidRPr="001013CE">
        <w:rPr>
          <w:rFonts w:eastAsia="Calibri"/>
          <w:sz w:val="22"/>
          <w:szCs w:val="22"/>
          <w:lang w:eastAsia="en-US"/>
        </w:rPr>
        <w:t xml:space="preserve">. </w:t>
      </w:r>
      <w:r w:rsidRPr="001013CE">
        <w:rPr>
          <w:rFonts w:eastAsia="Calibri"/>
          <w:sz w:val="22"/>
          <w:szCs w:val="22"/>
          <w:lang w:val="en-GB" w:eastAsia="en-US"/>
        </w:rPr>
        <w:t>Madrid: Fundación Alternativas.</w:t>
      </w:r>
    </w:p>
    <w:p w:rsidR="001013CE" w:rsidRPr="001013CE" w:rsidRDefault="001013CE" w:rsidP="001013CE">
      <w:pPr>
        <w:spacing w:before="120" w:after="120" w:line="360" w:lineRule="auto"/>
        <w:ind w:left="284" w:hanging="284"/>
        <w:jc w:val="both"/>
        <w:rPr>
          <w:color w:val="222222"/>
          <w:sz w:val="22"/>
          <w:szCs w:val="22"/>
          <w:shd w:val="clear" w:color="auto" w:fill="FFFFFF"/>
          <w:lang w:val="en-GB" w:eastAsia="en-US"/>
        </w:rPr>
      </w:pPr>
      <w:r w:rsidRPr="001013CE">
        <w:rPr>
          <w:color w:val="222222"/>
          <w:sz w:val="22"/>
          <w:szCs w:val="22"/>
          <w:shd w:val="clear" w:color="auto" w:fill="FFFFFF"/>
          <w:lang w:val="en-GB" w:eastAsia="en-US"/>
        </w:rPr>
        <w:t>Fingleton, B., &amp; López</w:t>
      </w:r>
      <w:r w:rsidRPr="001013CE">
        <w:rPr>
          <w:rFonts w:ascii="Cambria Math" w:eastAsia="Calibri" w:hAnsi="Cambria Math" w:cs="Cambria Math"/>
          <w:color w:val="222222"/>
          <w:sz w:val="22"/>
          <w:szCs w:val="22"/>
          <w:shd w:val="clear" w:color="auto" w:fill="FFFFFF"/>
          <w:lang w:val="en-GB" w:eastAsia="en-US"/>
        </w:rPr>
        <w:t>‐</w:t>
      </w:r>
      <w:r w:rsidRPr="001013CE">
        <w:rPr>
          <w:color w:val="222222"/>
          <w:sz w:val="22"/>
          <w:szCs w:val="22"/>
          <w:shd w:val="clear" w:color="auto" w:fill="FFFFFF"/>
          <w:lang w:val="en-GB" w:eastAsia="en-US"/>
        </w:rPr>
        <w:t>Bazo, E. (2006). Empirical growth models with spatial effects. </w:t>
      </w:r>
      <w:r w:rsidRPr="001013CE">
        <w:rPr>
          <w:i/>
          <w:iCs/>
          <w:color w:val="222222"/>
          <w:sz w:val="22"/>
          <w:szCs w:val="22"/>
          <w:shd w:val="clear" w:color="auto" w:fill="FFFFFF"/>
          <w:lang w:val="en-GB" w:eastAsia="en-US"/>
        </w:rPr>
        <w:t>Papers in regional science</w:t>
      </w:r>
      <w:r w:rsidRPr="001013CE">
        <w:rPr>
          <w:color w:val="222222"/>
          <w:sz w:val="22"/>
          <w:szCs w:val="22"/>
          <w:shd w:val="clear" w:color="auto" w:fill="FFFFFF"/>
          <w:lang w:val="en-GB" w:eastAsia="en-US"/>
        </w:rPr>
        <w:t>, </w:t>
      </w:r>
      <w:r w:rsidRPr="001013CE">
        <w:rPr>
          <w:iCs/>
          <w:color w:val="222222"/>
          <w:sz w:val="22"/>
          <w:szCs w:val="22"/>
          <w:shd w:val="clear" w:color="auto" w:fill="FFFFFF"/>
          <w:lang w:val="en-GB" w:eastAsia="en-US"/>
        </w:rPr>
        <w:t>85</w:t>
      </w:r>
      <w:r w:rsidRPr="001013CE">
        <w:rPr>
          <w:color w:val="222222"/>
          <w:sz w:val="22"/>
          <w:szCs w:val="22"/>
          <w:shd w:val="clear" w:color="auto" w:fill="FFFFFF"/>
          <w:lang w:val="en-GB" w:eastAsia="en-US"/>
        </w:rPr>
        <w:t>(2), pp. 177-198.</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Gehringer, A., Martínez-Zarzoso, I., &amp; Danziger, F. N. (2013). The Determinants of Total Factor Productivity in the EU: Insights from Sectoral Data and Common Dynamic Processes (No. 5343). EcoMod2013, EcoMod.</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Griffith, D. A. (2009). Spatial autocorrelation. In: Kitchin, R., &amp; Thrift, N. (eds.). </w:t>
      </w:r>
      <w:r w:rsidRPr="001013CE">
        <w:rPr>
          <w:rFonts w:eastAsia="Calibri"/>
          <w:i/>
          <w:iCs/>
          <w:sz w:val="22"/>
          <w:szCs w:val="22"/>
          <w:lang w:val="en-GB" w:eastAsia="en-US"/>
        </w:rPr>
        <w:t xml:space="preserve">International Encyclopedia of Human Geography (pp. </w:t>
      </w:r>
      <w:r w:rsidRPr="001013CE">
        <w:rPr>
          <w:rFonts w:eastAsia="Calibri"/>
          <w:sz w:val="22"/>
          <w:szCs w:val="22"/>
          <w:lang w:val="en-GB" w:eastAsia="en-US"/>
        </w:rPr>
        <w:t>308-316)</w:t>
      </w:r>
      <w:r w:rsidRPr="001013CE">
        <w:rPr>
          <w:rFonts w:eastAsia="Calibri"/>
          <w:i/>
          <w:iCs/>
          <w:sz w:val="22"/>
          <w:szCs w:val="22"/>
          <w:lang w:val="en-GB" w:eastAsia="en-US"/>
        </w:rPr>
        <w:t>.</w:t>
      </w:r>
      <w:r w:rsidRPr="001013CE">
        <w:rPr>
          <w:rFonts w:eastAsia="Calibri"/>
          <w:sz w:val="22"/>
          <w:szCs w:val="22"/>
          <w:lang w:val="en-GB" w:eastAsia="en-US"/>
        </w:rPr>
        <w:t xml:space="preserve"> Oxford: Elsevier.</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Griliches, Z. (1988). Productivity puzzles and R &amp; D: another nonexplanation. </w:t>
      </w:r>
      <w:r w:rsidRPr="001013CE">
        <w:rPr>
          <w:rFonts w:eastAsia="Calibri"/>
          <w:i/>
          <w:iCs/>
          <w:sz w:val="22"/>
          <w:szCs w:val="22"/>
          <w:lang w:val="en-GB" w:eastAsia="en-US"/>
        </w:rPr>
        <w:t>The Journal of Economic Perspectives</w:t>
      </w:r>
      <w:r w:rsidRPr="001013CE">
        <w:rPr>
          <w:rFonts w:eastAsia="Calibri"/>
          <w:sz w:val="22"/>
          <w:szCs w:val="22"/>
          <w:lang w:val="en-GB" w:eastAsia="en-US"/>
        </w:rPr>
        <w:t>, </w:t>
      </w:r>
      <w:r w:rsidRPr="001013CE">
        <w:rPr>
          <w:rFonts w:eastAsia="Calibri"/>
          <w:iCs/>
          <w:sz w:val="22"/>
          <w:szCs w:val="22"/>
          <w:lang w:val="en-GB" w:eastAsia="en-US"/>
        </w:rPr>
        <w:t>2</w:t>
      </w:r>
      <w:r w:rsidRPr="001013CE">
        <w:rPr>
          <w:rFonts w:eastAsia="Calibri"/>
          <w:sz w:val="22"/>
          <w:szCs w:val="22"/>
          <w:lang w:val="en-GB" w:eastAsia="en-US"/>
        </w:rPr>
        <w:t>(4), pp. 9-21.</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eastAsia="en-US"/>
        </w:rPr>
        <w:t xml:space="preserve">González-Páramo, J. M., &amp; López, D. M. (2003). </w:t>
      </w:r>
      <w:r w:rsidRPr="001013CE">
        <w:rPr>
          <w:rFonts w:eastAsia="Calibri"/>
          <w:sz w:val="22"/>
          <w:szCs w:val="22"/>
          <w:lang w:val="en-GB" w:eastAsia="en-US"/>
        </w:rPr>
        <w:t xml:space="preserve">Public investment and convergence in the Spanish regions. </w:t>
      </w:r>
      <w:r w:rsidRPr="001013CE">
        <w:rPr>
          <w:rFonts w:eastAsia="Calibri"/>
          <w:i/>
          <w:sz w:val="22"/>
          <w:szCs w:val="22"/>
          <w:lang w:val="en-GB" w:eastAsia="en-US"/>
        </w:rPr>
        <w:t>Studies on the Spanish Economy</w:t>
      </w:r>
      <w:r w:rsidRPr="001013CE">
        <w:rPr>
          <w:rFonts w:eastAsia="Calibri"/>
          <w:sz w:val="22"/>
          <w:szCs w:val="22"/>
          <w:lang w:val="en-GB" w:eastAsia="en-US"/>
        </w:rPr>
        <w:t xml:space="preserve"> (No. 112), FEDEA. Retrieved from IDEAS website: https://ideas.repec.org/p/fda/fdaeee/112.html</w:t>
      </w:r>
    </w:p>
    <w:p w:rsidR="001013CE" w:rsidRPr="001013CE" w:rsidRDefault="001013CE" w:rsidP="001013CE">
      <w:pPr>
        <w:spacing w:before="120" w:after="120" w:line="360" w:lineRule="auto"/>
        <w:ind w:left="284" w:hanging="284"/>
        <w:jc w:val="both"/>
        <w:rPr>
          <w:rFonts w:eastAsia="Calibri"/>
          <w:iCs/>
          <w:sz w:val="22"/>
          <w:szCs w:val="22"/>
          <w:lang w:val="en-GB" w:eastAsia="en-US"/>
        </w:rPr>
      </w:pPr>
      <w:r w:rsidRPr="001013CE">
        <w:rPr>
          <w:rFonts w:eastAsia="Calibri"/>
          <w:sz w:val="22"/>
          <w:szCs w:val="22"/>
          <w:lang w:eastAsia="en-US"/>
        </w:rPr>
        <w:t>Hall, R. E., &amp; Jones, C. I. (1996). </w:t>
      </w:r>
      <w:r w:rsidRPr="001013CE">
        <w:rPr>
          <w:rFonts w:eastAsia="Calibri"/>
          <w:iCs/>
          <w:sz w:val="22"/>
          <w:szCs w:val="22"/>
          <w:lang w:val="en-GB" w:eastAsia="en-US"/>
        </w:rPr>
        <w:t>The productivity of nations (No. 5812). Retrieved from National Bureau of Economic Research (NBER) website: http://www.nber.org/papers/w5812.</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eastAsia="en-US"/>
        </w:rPr>
        <w:t xml:space="preserve">Hall, R. E., &amp; Jones, C. I. (1999). </w:t>
      </w:r>
      <w:r w:rsidRPr="001013CE">
        <w:rPr>
          <w:rFonts w:eastAsia="Calibri"/>
          <w:sz w:val="22"/>
          <w:szCs w:val="22"/>
          <w:lang w:val="en-GB" w:eastAsia="en-US"/>
        </w:rPr>
        <w:t xml:space="preserve">Why do some countries produce so much more output per worker than others? </w:t>
      </w:r>
      <w:r w:rsidRPr="001013CE">
        <w:rPr>
          <w:rFonts w:eastAsia="Calibri"/>
          <w:i/>
          <w:sz w:val="22"/>
          <w:szCs w:val="22"/>
          <w:lang w:val="en-GB" w:eastAsia="en-US"/>
        </w:rPr>
        <w:t>Quarterly Journal of Economics</w:t>
      </w:r>
      <w:r w:rsidRPr="001013CE">
        <w:rPr>
          <w:rFonts w:eastAsia="Calibri"/>
          <w:sz w:val="22"/>
          <w:szCs w:val="22"/>
          <w:lang w:val="en-GB" w:eastAsia="en-US"/>
        </w:rPr>
        <w:t>, 114(1), pp. 83-116.</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Kendrick, J. (1956). Productivity trends: capital and labor. </w:t>
      </w:r>
      <w:r w:rsidRPr="001013CE">
        <w:rPr>
          <w:rFonts w:eastAsia="Calibri"/>
          <w:i/>
          <w:sz w:val="22"/>
          <w:szCs w:val="22"/>
          <w:lang w:val="en-GB" w:eastAsia="en-US"/>
        </w:rPr>
        <w:t>Review of economics and statistics,</w:t>
      </w:r>
      <w:r w:rsidRPr="001013CE">
        <w:rPr>
          <w:rFonts w:eastAsia="Calibri"/>
          <w:sz w:val="22"/>
          <w:szCs w:val="22"/>
          <w:lang w:val="en-GB" w:eastAsia="en-US"/>
        </w:rPr>
        <w:t xml:space="preserve"> 38(3), pp. 248-257.</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eastAsia="en-US"/>
        </w:rPr>
        <w:lastRenderedPageBreak/>
        <w:t xml:space="preserve">Klenow, P. J., &amp; Rodriguez-Clare, A. (2005). </w:t>
      </w:r>
      <w:r w:rsidRPr="001013CE">
        <w:rPr>
          <w:rFonts w:eastAsia="Calibri"/>
          <w:sz w:val="22"/>
          <w:szCs w:val="22"/>
          <w:lang w:val="en-GB" w:eastAsia="en-US"/>
        </w:rPr>
        <w:t xml:space="preserve">Externalities and growth. In: Aghion, P., Durlauf, S. (Eds.), </w:t>
      </w:r>
      <w:r w:rsidRPr="001013CE">
        <w:rPr>
          <w:rFonts w:eastAsia="Calibri"/>
          <w:i/>
          <w:sz w:val="22"/>
          <w:szCs w:val="22"/>
          <w:lang w:val="en-GB" w:eastAsia="en-US"/>
        </w:rPr>
        <w:t>Handbook of Economic Growth, Vol. 1</w:t>
      </w:r>
      <w:r w:rsidRPr="001013CE">
        <w:rPr>
          <w:rFonts w:eastAsia="Calibri"/>
          <w:sz w:val="22"/>
          <w:szCs w:val="22"/>
          <w:lang w:val="en-GB" w:eastAsia="en-US"/>
        </w:rPr>
        <w:t xml:space="preserve"> (pp. 817-861, Ch. 11), Amsterdam: Elsevier.</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LeSage, J. P. (1999). </w:t>
      </w:r>
      <w:r w:rsidRPr="001013CE">
        <w:rPr>
          <w:rFonts w:eastAsia="Calibri"/>
          <w:i/>
          <w:sz w:val="22"/>
          <w:szCs w:val="22"/>
          <w:lang w:val="en-GB" w:eastAsia="en-US"/>
        </w:rPr>
        <w:t>The theory and practice of spatial econometrics</w:t>
      </w:r>
      <w:r w:rsidRPr="001013CE">
        <w:rPr>
          <w:rFonts w:eastAsia="Calibri"/>
          <w:sz w:val="22"/>
          <w:szCs w:val="22"/>
          <w:lang w:val="en-GB" w:eastAsia="en-US"/>
        </w:rPr>
        <w:t>. Toledo, Ohio: University of Toledo.</w:t>
      </w:r>
    </w:p>
    <w:p w:rsidR="001013CE" w:rsidRPr="001013CE" w:rsidRDefault="001013CE" w:rsidP="001013CE">
      <w:pPr>
        <w:spacing w:before="120" w:after="120" w:line="360" w:lineRule="auto"/>
        <w:ind w:left="284" w:hanging="284"/>
        <w:jc w:val="both"/>
        <w:rPr>
          <w:color w:val="222222"/>
          <w:sz w:val="22"/>
          <w:szCs w:val="22"/>
          <w:shd w:val="clear" w:color="auto" w:fill="FFFFFF"/>
          <w:lang w:val="en-GB" w:eastAsia="en-US"/>
        </w:rPr>
      </w:pPr>
      <w:r w:rsidRPr="001013CE">
        <w:rPr>
          <w:color w:val="222222"/>
          <w:sz w:val="22"/>
          <w:szCs w:val="22"/>
          <w:shd w:val="clear" w:color="auto" w:fill="FFFFFF"/>
          <w:lang w:val="en-GB" w:eastAsia="en-US"/>
        </w:rPr>
        <w:t>LeSage, J. P., &amp; Fischer, M. M. (2009). The impact of knowledge capital on regional total factor productivity (April, 2009). Retrieved from Social Science Research Network (SSRN) website: http://ssrn.com/abstract=1088301.</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Lucas, R. E. (1988). On the mechanics of economic development. </w:t>
      </w:r>
      <w:r w:rsidRPr="001013CE">
        <w:rPr>
          <w:rFonts w:eastAsia="Calibri"/>
          <w:i/>
          <w:sz w:val="22"/>
          <w:szCs w:val="22"/>
          <w:lang w:val="en-GB" w:eastAsia="en-US"/>
        </w:rPr>
        <w:t>Journal of monetary economics</w:t>
      </w:r>
      <w:r w:rsidRPr="001013CE">
        <w:rPr>
          <w:rFonts w:eastAsia="Calibri"/>
          <w:sz w:val="22"/>
          <w:szCs w:val="22"/>
          <w:lang w:val="en-GB" w:eastAsia="en-US"/>
        </w:rPr>
        <w:t>, 22(1), pp. 3-42.</w:t>
      </w:r>
    </w:p>
    <w:p w:rsidR="001013CE" w:rsidRPr="001013CE" w:rsidRDefault="001013CE" w:rsidP="001013CE">
      <w:pPr>
        <w:spacing w:before="120" w:after="120" w:line="360" w:lineRule="auto"/>
        <w:ind w:left="284" w:hanging="284"/>
        <w:jc w:val="both"/>
        <w:rPr>
          <w:rFonts w:eastAsia="Calibri"/>
          <w:i/>
          <w:sz w:val="22"/>
          <w:szCs w:val="22"/>
          <w:lang w:val="en-GB" w:eastAsia="en-US"/>
        </w:rPr>
      </w:pPr>
      <w:r w:rsidRPr="001013CE">
        <w:rPr>
          <w:rFonts w:eastAsia="Calibri"/>
          <w:sz w:val="22"/>
          <w:szCs w:val="22"/>
          <w:lang w:eastAsia="en-US"/>
        </w:rPr>
        <w:t>Magrini, S. (2004). Regional (di) convergence</w:t>
      </w:r>
      <w:r w:rsidRPr="001013CE">
        <w:rPr>
          <w:rFonts w:eastAsia="Calibri"/>
          <w:i/>
          <w:sz w:val="22"/>
          <w:szCs w:val="22"/>
          <w:lang w:eastAsia="en-US"/>
        </w:rPr>
        <w:t xml:space="preserve">. </w:t>
      </w:r>
      <w:r w:rsidRPr="001013CE">
        <w:rPr>
          <w:rFonts w:eastAsia="Calibri"/>
          <w:sz w:val="22"/>
          <w:szCs w:val="22"/>
          <w:lang w:val="en-GB" w:eastAsia="en-US"/>
        </w:rPr>
        <w:t>In Henderson, J. V. and Thisse, J. F. (Eds.),</w:t>
      </w:r>
      <w:r w:rsidRPr="001013CE">
        <w:rPr>
          <w:rFonts w:eastAsia="Calibri"/>
          <w:i/>
          <w:sz w:val="22"/>
          <w:szCs w:val="22"/>
          <w:lang w:val="en-GB" w:eastAsia="en-US"/>
        </w:rPr>
        <w:t xml:space="preserve"> Handbook of regional and urban economics, vol. 4 </w:t>
      </w:r>
      <w:r w:rsidRPr="001013CE">
        <w:rPr>
          <w:rFonts w:eastAsia="Calibri"/>
          <w:sz w:val="22"/>
          <w:szCs w:val="22"/>
          <w:lang w:val="en-GB" w:eastAsia="en-US"/>
        </w:rPr>
        <w:t>(pp. 2741-2796, Ch. 62). Amsterdam: Elsevier.</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Mankiw N.G., Romer D. and D. Weil (1992) A contribution to the empirics of economic growth. </w:t>
      </w:r>
      <w:r w:rsidRPr="001013CE">
        <w:rPr>
          <w:rFonts w:eastAsia="Calibri"/>
          <w:i/>
          <w:iCs/>
          <w:sz w:val="22"/>
          <w:szCs w:val="22"/>
          <w:lang w:val="en-GB" w:eastAsia="en-US"/>
        </w:rPr>
        <w:t>Quarterly Journal of Economics</w:t>
      </w:r>
      <w:r w:rsidRPr="001013CE">
        <w:rPr>
          <w:rFonts w:eastAsia="Calibri"/>
          <w:sz w:val="22"/>
          <w:szCs w:val="22"/>
          <w:lang w:val="en-GB" w:eastAsia="en-US"/>
        </w:rPr>
        <w:t xml:space="preserve">, 107(2), pp. 407-437. </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Maroto, A. (2012). Productivity in the services sector. Conventional and current explanations. </w:t>
      </w:r>
      <w:r w:rsidRPr="001013CE">
        <w:rPr>
          <w:rFonts w:eastAsia="Calibri"/>
          <w:i/>
          <w:sz w:val="22"/>
          <w:szCs w:val="22"/>
          <w:lang w:val="en-GB" w:eastAsia="en-US"/>
        </w:rPr>
        <w:t>Service Industries Journal</w:t>
      </w:r>
      <w:r w:rsidRPr="001013CE">
        <w:rPr>
          <w:rFonts w:eastAsia="Calibri"/>
          <w:sz w:val="22"/>
          <w:szCs w:val="22"/>
          <w:lang w:val="en-GB" w:eastAsia="en-US"/>
        </w:rPr>
        <w:t>, 32(5), pp. 719-746</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eastAsia="en-US"/>
        </w:rPr>
        <w:t xml:space="preserve">Maroto, A. (2013). Las relaciones entre servicios y productividad: Un tema a impulsar en el ámbito regional y territorial. </w:t>
      </w:r>
      <w:r w:rsidRPr="001013CE">
        <w:rPr>
          <w:rFonts w:eastAsia="Calibri"/>
          <w:i/>
          <w:sz w:val="22"/>
          <w:szCs w:val="22"/>
          <w:lang w:val="en-GB" w:eastAsia="en-US"/>
        </w:rPr>
        <w:t>Investigaciones Regionales – Journal of Regional Research</w:t>
      </w:r>
      <w:r w:rsidRPr="001013CE">
        <w:rPr>
          <w:rFonts w:eastAsia="Calibri"/>
          <w:sz w:val="22"/>
          <w:szCs w:val="22"/>
          <w:lang w:val="en-GB" w:eastAsia="en-US"/>
        </w:rPr>
        <w:t>, 27: 157-183</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ONS - Office for National Statistics. (2007). </w:t>
      </w:r>
      <w:r w:rsidRPr="001013CE">
        <w:rPr>
          <w:rFonts w:eastAsia="Calibri"/>
          <w:i/>
          <w:sz w:val="22"/>
          <w:szCs w:val="22"/>
          <w:lang w:val="en-GB" w:eastAsia="en-US"/>
        </w:rPr>
        <w:t>The ONS productivity handbook: a statistical overview and guide</w:t>
      </w:r>
      <w:r w:rsidRPr="001013CE">
        <w:rPr>
          <w:rFonts w:eastAsia="Calibri"/>
          <w:sz w:val="22"/>
          <w:szCs w:val="22"/>
          <w:lang w:val="en-GB" w:eastAsia="en-US"/>
        </w:rPr>
        <w:t>. London: Palgrave Macmillan.</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Paas, T., &amp; Vahi, T. (2012). Economic Growth, Convergence and Innovation in the EU Regions. </w:t>
      </w:r>
      <w:r w:rsidRPr="001013CE">
        <w:rPr>
          <w:rFonts w:eastAsia="Calibri"/>
          <w:i/>
          <w:iCs/>
          <w:sz w:val="22"/>
          <w:szCs w:val="22"/>
          <w:lang w:val="en-GB" w:eastAsia="en-US"/>
        </w:rPr>
        <w:t>Discussions on Estonian Economic Policy: Theory and Practice of Economic Policy</w:t>
      </w:r>
      <w:r w:rsidRPr="001013CE">
        <w:rPr>
          <w:rFonts w:eastAsia="Calibri"/>
          <w:sz w:val="22"/>
          <w:szCs w:val="22"/>
          <w:lang w:val="en-GB" w:eastAsia="en-US"/>
        </w:rPr>
        <w:t>, </w:t>
      </w:r>
      <w:r w:rsidRPr="001013CE">
        <w:rPr>
          <w:rFonts w:eastAsia="Calibri"/>
          <w:iCs/>
          <w:sz w:val="22"/>
          <w:szCs w:val="22"/>
          <w:lang w:val="en-GB" w:eastAsia="en-US"/>
        </w:rPr>
        <w:t>20</w:t>
      </w:r>
      <w:r w:rsidRPr="001013CE">
        <w:rPr>
          <w:rFonts w:eastAsia="Calibri"/>
          <w:sz w:val="22"/>
          <w:szCs w:val="22"/>
          <w:lang w:val="en-GB" w:eastAsia="en-US"/>
        </w:rPr>
        <w:t>(1), pp. 105-121.</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Pedroni, P. (1999). Critical values for cointegration tests in heterogeneous panels with multiple regressors. </w:t>
      </w:r>
      <w:r w:rsidRPr="001013CE">
        <w:rPr>
          <w:rFonts w:eastAsia="Calibri"/>
          <w:i/>
          <w:sz w:val="22"/>
          <w:szCs w:val="22"/>
          <w:lang w:val="en-GB" w:eastAsia="en-US"/>
        </w:rPr>
        <w:t>Oxford Bulletin of Economics and statistics</w:t>
      </w:r>
      <w:r w:rsidRPr="001013CE">
        <w:rPr>
          <w:rFonts w:eastAsia="Calibri"/>
          <w:sz w:val="22"/>
          <w:szCs w:val="22"/>
          <w:lang w:val="en-GB" w:eastAsia="en-US"/>
        </w:rPr>
        <w:t>, 61(S1), pp. 653-670.</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 xml:space="preserve">Pesaran, M. H. (2004). General diagnostic tests for cross section dependence in panels (No. 1229). </w:t>
      </w:r>
      <w:r w:rsidRPr="001013CE">
        <w:rPr>
          <w:color w:val="222222"/>
          <w:sz w:val="22"/>
          <w:szCs w:val="22"/>
          <w:shd w:val="clear" w:color="auto" w:fill="FFFFFF"/>
          <w:lang w:val="en-GB" w:eastAsia="en-US"/>
        </w:rPr>
        <w:t>Retrieved from Social Science Research Network (SSRN) website: http://papers.ssrn.com/sol3/papers.cfm?abstract_id=572504.</w:t>
      </w:r>
      <w:r w:rsidRPr="001013CE">
        <w:rPr>
          <w:rFonts w:eastAsia="Calibri"/>
          <w:sz w:val="22"/>
          <w:szCs w:val="22"/>
          <w:lang w:val="en-GB" w:eastAsia="en-US"/>
        </w:rPr>
        <w:t xml:space="preserve"> </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Pesaran, M. H. (2007). A simple panel unit root test in the presence of cross</w:t>
      </w:r>
      <w:r w:rsidRPr="001013CE">
        <w:rPr>
          <w:rFonts w:ascii="Cambria Math" w:eastAsia="Calibri" w:hAnsi="Cambria Math" w:cs="Cambria Math"/>
          <w:sz w:val="22"/>
          <w:szCs w:val="22"/>
          <w:lang w:val="en-GB" w:eastAsia="en-US"/>
        </w:rPr>
        <w:t>‐</w:t>
      </w:r>
      <w:r w:rsidRPr="001013CE">
        <w:rPr>
          <w:rFonts w:eastAsia="Calibri"/>
          <w:sz w:val="22"/>
          <w:szCs w:val="22"/>
          <w:lang w:val="en-GB" w:eastAsia="en-US"/>
        </w:rPr>
        <w:t xml:space="preserve">section dependence. </w:t>
      </w:r>
      <w:r w:rsidRPr="001013CE">
        <w:rPr>
          <w:rFonts w:eastAsia="Calibri"/>
          <w:i/>
          <w:sz w:val="22"/>
          <w:szCs w:val="22"/>
          <w:lang w:val="en-GB" w:eastAsia="en-US"/>
        </w:rPr>
        <w:t>Journal of Applied Econometrics</w:t>
      </w:r>
      <w:r w:rsidRPr="001013CE">
        <w:rPr>
          <w:rFonts w:eastAsia="Calibri"/>
          <w:sz w:val="22"/>
          <w:szCs w:val="22"/>
          <w:lang w:val="en-GB" w:eastAsia="en-US"/>
        </w:rPr>
        <w:t>, 22(2), pp. 265-312.</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t>Romer, P. M. (1986). Increasing returns and long-run growth. </w:t>
      </w:r>
      <w:r w:rsidRPr="001013CE">
        <w:rPr>
          <w:rFonts w:eastAsia="Calibri"/>
          <w:i/>
          <w:iCs/>
          <w:sz w:val="22"/>
          <w:szCs w:val="22"/>
          <w:lang w:val="en-GB" w:eastAsia="en-US"/>
        </w:rPr>
        <w:t>Journal of political economy</w:t>
      </w:r>
      <w:r w:rsidRPr="001013CE">
        <w:rPr>
          <w:rFonts w:eastAsia="Calibri"/>
          <w:sz w:val="22"/>
          <w:szCs w:val="22"/>
          <w:lang w:val="en-GB" w:eastAsia="en-US"/>
        </w:rPr>
        <w:t>, 94(5), pp. 1002-1037.</w:t>
      </w:r>
    </w:p>
    <w:p w:rsidR="001013CE" w:rsidRPr="001013CE" w:rsidRDefault="001013CE" w:rsidP="001013CE">
      <w:pPr>
        <w:spacing w:before="120" w:after="120" w:line="360" w:lineRule="auto"/>
        <w:ind w:left="284" w:hanging="284"/>
        <w:jc w:val="both"/>
        <w:rPr>
          <w:rFonts w:eastAsia="Calibri"/>
          <w:sz w:val="22"/>
          <w:szCs w:val="22"/>
          <w:lang w:val="en-GB" w:eastAsia="en-US"/>
        </w:rPr>
      </w:pPr>
      <w:r w:rsidRPr="001013CE">
        <w:rPr>
          <w:rFonts w:eastAsia="Calibri"/>
          <w:sz w:val="22"/>
          <w:szCs w:val="22"/>
          <w:lang w:val="en-GB" w:eastAsia="en-US"/>
        </w:rPr>
        <w:lastRenderedPageBreak/>
        <w:t xml:space="preserve">Solow, R. (1957). Technical Change and the Aggregate Production Function. </w:t>
      </w:r>
      <w:r w:rsidRPr="001013CE">
        <w:rPr>
          <w:rFonts w:eastAsia="Calibri"/>
          <w:i/>
          <w:sz w:val="22"/>
          <w:szCs w:val="22"/>
          <w:lang w:val="en-GB" w:eastAsia="en-US"/>
        </w:rPr>
        <w:t>Review of Economics and Statistics</w:t>
      </w:r>
      <w:r w:rsidRPr="001013CE">
        <w:rPr>
          <w:rFonts w:eastAsia="Calibri"/>
          <w:sz w:val="22"/>
          <w:szCs w:val="22"/>
          <w:lang w:val="en-GB" w:eastAsia="en-US"/>
        </w:rPr>
        <w:t>, 39(3), pp. 312-320.</w:t>
      </w:r>
    </w:p>
    <w:p w:rsidR="001013CE" w:rsidRPr="001013CE" w:rsidRDefault="001013CE" w:rsidP="001013CE">
      <w:pPr>
        <w:keepNext/>
        <w:keepLines/>
        <w:spacing w:before="120" w:after="120" w:line="360" w:lineRule="auto"/>
        <w:outlineLvl w:val="1"/>
        <w:rPr>
          <w:b/>
          <w:color w:val="000000"/>
          <w:szCs w:val="26"/>
          <w:lang w:val="en-GB" w:eastAsia="en-US"/>
        </w:rPr>
      </w:pPr>
      <w:bookmarkStart w:id="27" w:name="_Toc446283079"/>
      <w:bookmarkStart w:id="28" w:name="_Toc448256133"/>
      <w:r>
        <w:rPr>
          <w:b/>
          <w:color w:val="000000"/>
          <w:szCs w:val="26"/>
          <w:lang w:val="en-GB" w:eastAsia="en-US"/>
        </w:rPr>
        <w:br w:type="page"/>
      </w:r>
      <w:r w:rsidRPr="001013CE">
        <w:rPr>
          <w:b/>
          <w:color w:val="000000"/>
          <w:szCs w:val="26"/>
          <w:lang w:val="en-GB" w:eastAsia="en-US"/>
        </w:rPr>
        <w:lastRenderedPageBreak/>
        <w:t>Appendix: Pre-estimation issues: Stationarity and cointegration</w:t>
      </w:r>
      <w:bookmarkEnd w:id="27"/>
      <w:bookmarkEnd w:id="28"/>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t>Pesaran (2003) panel unit root test is used to test for stationarity in the selection of variables above. This test is especially suitable when there is presence of cross-section dependence. It expands the traditional ADF regressions with the cross-section averages of the variable in levels and first differences. The truncated version of the test is implemented to avoid the effect of extreme values in panels with small T</w:t>
      </w:r>
      <w:r w:rsidRPr="001013CE">
        <w:rPr>
          <w:rFonts w:eastAsia="Calibri"/>
          <w:sz w:val="22"/>
          <w:szCs w:val="22"/>
          <w:vertAlign w:val="superscript"/>
          <w:lang w:val="en-GB" w:eastAsia="en-US"/>
        </w:rPr>
        <w:footnoteReference w:id="22"/>
      </w:r>
      <w:r w:rsidRPr="001013CE">
        <w:rPr>
          <w:rFonts w:eastAsia="Calibri"/>
          <w:sz w:val="22"/>
          <w:szCs w:val="22"/>
          <w:lang w:val="en-GB" w:eastAsia="en-US"/>
        </w:rPr>
        <w:t>. The maximum number of lags allowed is 2 for the NUTS3 regions</w:t>
      </w:r>
      <w:r w:rsidRPr="001013CE">
        <w:rPr>
          <w:rFonts w:eastAsia="Calibri"/>
          <w:sz w:val="22"/>
          <w:szCs w:val="22"/>
          <w:vertAlign w:val="superscript"/>
          <w:lang w:val="en-GB" w:eastAsia="en-US"/>
        </w:rPr>
        <w:footnoteReference w:id="23"/>
      </w:r>
      <w:r w:rsidRPr="001013CE">
        <w:rPr>
          <w:rFonts w:eastAsia="Calibri"/>
          <w:sz w:val="22"/>
          <w:szCs w:val="22"/>
          <w:lang w:val="en-GB" w:eastAsia="en-US"/>
        </w:rPr>
        <w:t>. Equation 11 describes the resulting CADF regression (Baltagi, 2013):</w:t>
      </w:r>
    </w:p>
    <w:p w:rsidR="001013CE" w:rsidRPr="001013CE" w:rsidRDefault="001013CE" w:rsidP="001013CE">
      <w:pPr>
        <w:spacing w:before="240" w:after="240" w:line="360" w:lineRule="auto"/>
        <w:jc w:val="right"/>
        <w:rPr>
          <w:rFonts w:eastAsia="Calibri"/>
          <w:i/>
          <w:iCs/>
          <w:color w:val="000000"/>
          <w:lang w:val="en-GB" w:eastAsia="en-US"/>
        </w:rPr>
      </w:pPr>
      <m:oMath>
        <m:r>
          <w:rPr>
            <w:rFonts w:ascii="Cambria Math" w:eastAsia="Calibri" w:hAnsi="Cambria Math"/>
            <w:color w:val="000000"/>
            <w:lang w:val="en-GB" w:eastAsia="en-US"/>
          </w:rPr>
          <m:t>∆</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z</m:t>
            </m:r>
          </m:e>
          <m:sub>
            <m:r>
              <w:rPr>
                <w:rFonts w:ascii="Cambria Math" w:eastAsia="Calibri" w:hAnsi="Cambria Math"/>
                <w:color w:val="000000"/>
                <w:lang w:val="en-GB" w:eastAsia="en-US"/>
              </w:rPr>
              <m:t>rt</m:t>
            </m:r>
          </m:sub>
        </m:sSub>
        <m:r>
          <w:rPr>
            <w:rFonts w:ascii="Cambria Math" w:eastAsia="Calibri" w:hAnsi="Cambria Math"/>
            <w:color w:val="000000"/>
            <w:lang w:val="en-GB" w:eastAsia="en-US"/>
          </w:rPr>
          <m:t xml:space="preserve">= </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α</m:t>
            </m:r>
          </m:e>
          <m:sub>
            <m:r>
              <w:rPr>
                <w:rFonts w:ascii="Cambria Math" w:eastAsia="Calibri" w:hAnsi="Cambria Math"/>
                <w:color w:val="000000"/>
                <w:lang w:val="en-GB" w:eastAsia="en-US"/>
              </w:rPr>
              <m:t>r</m:t>
            </m:r>
          </m:sub>
        </m:sSub>
        <m:r>
          <w:rPr>
            <w:rFonts w:ascii="Cambria Math" w:eastAsia="Calibri" w:hAnsi="Cambria Math"/>
            <w:color w:val="000000"/>
            <w:lang w:val="en-GB" w:eastAsia="en-US"/>
          </w:rPr>
          <m:t xml:space="preserve">+ </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b</m:t>
            </m:r>
          </m:e>
          <m:sub>
            <m:r>
              <w:rPr>
                <w:rFonts w:ascii="Cambria Math" w:eastAsia="Calibri" w:hAnsi="Cambria Math"/>
                <w:color w:val="000000"/>
                <w:lang w:val="en-GB" w:eastAsia="en-US"/>
              </w:rPr>
              <m:t>r</m:t>
            </m:r>
          </m:sub>
        </m:sSub>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z</m:t>
            </m:r>
          </m:e>
          <m:sub>
            <m:r>
              <w:rPr>
                <w:rFonts w:ascii="Cambria Math" w:eastAsia="Calibri" w:hAnsi="Cambria Math"/>
                <w:color w:val="000000"/>
                <w:lang w:val="en-GB" w:eastAsia="en-US"/>
              </w:rPr>
              <m:t>r,t-1</m:t>
            </m:r>
          </m:sub>
        </m:sSub>
        <m:r>
          <w:rPr>
            <w:rFonts w:ascii="Cambria Math" w:eastAsia="Calibri" w:hAnsi="Cambria Math"/>
            <w:color w:val="000000"/>
            <w:lang w:val="en-GB" w:eastAsia="en-US"/>
          </w:rPr>
          <m:t xml:space="preserve">+ </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b</m:t>
            </m:r>
          </m:e>
          <m:sub>
            <m:r>
              <w:rPr>
                <w:rFonts w:ascii="Cambria Math" w:eastAsia="Calibri" w:hAnsi="Cambria Math"/>
                <w:color w:val="000000"/>
                <w:lang w:val="en-GB" w:eastAsia="en-US"/>
              </w:rPr>
              <m:t>0</m:t>
            </m:r>
          </m:sub>
        </m:sSub>
        <m:sSub>
          <m:sSubPr>
            <m:ctrlPr>
              <w:rPr>
                <w:rFonts w:ascii="Cambria Math" w:eastAsia="Calibri" w:hAnsi="Cambria Math"/>
                <w:iCs/>
                <w:color w:val="000000"/>
                <w:lang w:val="en-GB" w:eastAsia="en-US"/>
              </w:rPr>
            </m:ctrlPr>
          </m:sSubPr>
          <m:e>
            <m:bar>
              <m:barPr>
                <m:pos m:val="top"/>
                <m:ctrlPr>
                  <w:rPr>
                    <w:rFonts w:ascii="Cambria Math" w:eastAsia="Calibri" w:hAnsi="Cambria Math"/>
                    <w:iCs/>
                    <w:color w:val="000000"/>
                    <w:lang w:val="en-GB" w:eastAsia="en-US"/>
                  </w:rPr>
                </m:ctrlPr>
              </m:barPr>
              <m:e>
                <m:r>
                  <w:rPr>
                    <w:rFonts w:ascii="Cambria Math" w:eastAsia="Calibri" w:hAnsi="Cambria Math"/>
                    <w:color w:val="000000"/>
                    <w:lang w:val="en-GB" w:eastAsia="en-US"/>
                  </w:rPr>
                  <m:t>z</m:t>
                </m:r>
              </m:e>
            </m:bar>
          </m:e>
          <m:sub>
            <m:r>
              <w:rPr>
                <w:rFonts w:ascii="Cambria Math" w:eastAsia="Calibri" w:hAnsi="Cambria Math"/>
                <w:color w:val="000000"/>
                <w:lang w:val="en-GB" w:eastAsia="en-US"/>
              </w:rPr>
              <m:t>t-1</m:t>
            </m:r>
          </m:sub>
        </m:sSub>
        <m:r>
          <w:rPr>
            <w:rFonts w:ascii="Cambria Math" w:eastAsia="Calibri" w:hAnsi="Cambria Math"/>
            <w:color w:val="000000"/>
            <w:lang w:val="en-GB" w:eastAsia="en-US"/>
          </w:rPr>
          <m:t xml:space="preserve">+ </m:t>
        </m:r>
        <m:nary>
          <m:naryPr>
            <m:chr m:val="∑"/>
            <m:limLoc m:val="undOvr"/>
            <m:ctrlPr>
              <w:rPr>
                <w:rFonts w:ascii="Cambria Math" w:eastAsia="Calibri" w:hAnsi="Cambria Math"/>
                <w:iCs/>
                <w:color w:val="000000"/>
                <w:lang w:val="en-GB" w:eastAsia="en-US"/>
              </w:rPr>
            </m:ctrlPr>
          </m:naryPr>
          <m:sub>
            <m:r>
              <w:rPr>
                <w:rFonts w:ascii="Cambria Math" w:eastAsia="Calibri" w:hAnsi="Cambria Math"/>
                <w:color w:val="000000"/>
                <w:lang w:val="en-GB" w:eastAsia="en-US"/>
              </w:rPr>
              <m:t>j=0</m:t>
            </m:r>
          </m:sub>
          <m:sup>
            <m:r>
              <w:rPr>
                <w:rFonts w:ascii="Cambria Math" w:eastAsia="Calibri" w:hAnsi="Cambria Math"/>
                <w:color w:val="000000"/>
                <w:lang w:val="en-GB" w:eastAsia="en-US"/>
              </w:rPr>
              <m:t>p</m:t>
            </m:r>
          </m:sup>
          <m:e>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b</m:t>
                </m:r>
              </m:e>
              <m:sub>
                <m:r>
                  <w:rPr>
                    <w:rFonts w:ascii="Cambria Math" w:eastAsia="Calibri" w:hAnsi="Cambria Math"/>
                    <w:color w:val="000000"/>
                    <w:lang w:val="en-GB" w:eastAsia="en-US"/>
                  </w:rPr>
                  <m:t>j+1</m:t>
                </m:r>
              </m:sub>
            </m:sSub>
            <m:r>
              <w:rPr>
                <w:rFonts w:ascii="Cambria Math" w:eastAsia="Calibri" w:hAnsi="Cambria Math"/>
                <w:color w:val="000000"/>
                <w:lang w:val="en-GB" w:eastAsia="en-US"/>
              </w:rPr>
              <m:t>∆</m:t>
            </m:r>
            <m:sSub>
              <m:sSubPr>
                <m:ctrlPr>
                  <w:rPr>
                    <w:rFonts w:ascii="Cambria Math" w:eastAsia="Calibri" w:hAnsi="Cambria Math"/>
                    <w:iCs/>
                    <w:color w:val="000000"/>
                    <w:lang w:val="en-GB" w:eastAsia="en-US"/>
                  </w:rPr>
                </m:ctrlPr>
              </m:sSubPr>
              <m:e>
                <m:bar>
                  <m:barPr>
                    <m:pos m:val="top"/>
                    <m:ctrlPr>
                      <w:rPr>
                        <w:rFonts w:ascii="Cambria Math" w:eastAsia="Calibri" w:hAnsi="Cambria Math"/>
                        <w:iCs/>
                        <w:color w:val="000000"/>
                        <w:lang w:val="en-GB" w:eastAsia="en-US"/>
                      </w:rPr>
                    </m:ctrlPr>
                  </m:barPr>
                  <m:e>
                    <m:r>
                      <w:rPr>
                        <w:rFonts w:ascii="Cambria Math" w:eastAsia="Calibri" w:hAnsi="Cambria Math"/>
                        <w:color w:val="000000"/>
                        <w:lang w:val="en-GB" w:eastAsia="en-US"/>
                      </w:rPr>
                      <m:t>z</m:t>
                    </m:r>
                  </m:e>
                </m:bar>
              </m:e>
              <m:sub>
                <m:r>
                  <w:rPr>
                    <w:rFonts w:ascii="Cambria Math" w:eastAsia="Calibri" w:hAnsi="Cambria Math"/>
                    <w:color w:val="000000"/>
                    <w:lang w:val="en-GB" w:eastAsia="en-US"/>
                  </w:rPr>
                  <m:t>t-j</m:t>
                </m:r>
              </m:sub>
            </m:sSub>
            <m:r>
              <w:rPr>
                <w:rFonts w:ascii="Cambria Math" w:eastAsia="Calibri" w:hAnsi="Cambria Math"/>
                <w:color w:val="000000"/>
                <w:lang w:val="en-GB" w:eastAsia="en-US"/>
              </w:rPr>
              <m:t>+</m:t>
            </m:r>
            <m:nary>
              <m:naryPr>
                <m:chr m:val="∑"/>
                <m:limLoc m:val="undOvr"/>
                <m:ctrlPr>
                  <w:rPr>
                    <w:rFonts w:ascii="Cambria Math" w:eastAsia="Calibri" w:hAnsi="Cambria Math"/>
                    <w:iCs/>
                    <w:color w:val="000000"/>
                    <w:lang w:val="en-GB" w:eastAsia="en-US"/>
                  </w:rPr>
                </m:ctrlPr>
              </m:naryPr>
              <m:sub>
                <m:r>
                  <w:rPr>
                    <w:rFonts w:ascii="Cambria Math" w:eastAsia="Calibri" w:hAnsi="Cambria Math"/>
                    <w:color w:val="000000"/>
                    <w:lang w:val="en-GB" w:eastAsia="en-US"/>
                  </w:rPr>
                  <m:t>k=1</m:t>
                </m:r>
              </m:sub>
              <m:sup>
                <m:r>
                  <w:rPr>
                    <w:rFonts w:ascii="Cambria Math" w:eastAsia="Calibri" w:hAnsi="Cambria Math"/>
                    <w:color w:val="000000"/>
                    <w:lang w:val="en-GB" w:eastAsia="en-US"/>
                  </w:rPr>
                  <m:t>p</m:t>
                </m:r>
              </m:sup>
              <m:e>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c</m:t>
                    </m:r>
                  </m:e>
                  <m:sub>
                    <m:r>
                      <w:rPr>
                        <w:rFonts w:ascii="Cambria Math" w:eastAsia="Calibri" w:hAnsi="Cambria Math"/>
                        <w:color w:val="000000"/>
                        <w:lang w:val="en-GB" w:eastAsia="en-US"/>
                      </w:rPr>
                      <m:t>k</m:t>
                    </m:r>
                  </m:sub>
                </m:sSub>
                <m:r>
                  <w:rPr>
                    <w:rFonts w:ascii="Cambria Math" w:eastAsia="Calibri" w:hAnsi="Cambria Math"/>
                    <w:color w:val="000000"/>
                    <w:lang w:val="en-GB" w:eastAsia="en-US"/>
                  </w:rPr>
                  <m:t>∆</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z</m:t>
                    </m:r>
                  </m:e>
                  <m:sub>
                    <m:r>
                      <w:rPr>
                        <w:rFonts w:ascii="Cambria Math" w:eastAsia="Calibri" w:hAnsi="Cambria Math"/>
                        <w:color w:val="000000"/>
                        <w:lang w:val="en-GB" w:eastAsia="en-US"/>
                      </w:rPr>
                      <m:t>r, t-k</m:t>
                    </m:r>
                  </m:sub>
                </m:sSub>
                <m:r>
                  <w:rPr>
                    <w:rFonts w:ascii="Cambria Math" w:eastAsia="Calibri" w:hAnsi="Cambria Math"/>
                    <w:color w:val="000000"/>
                    <w:lang w:val="en-GB" w:eastAsia="en-US"/>
                  </w:rPr>
                  <m:t>+</m:t>
                </m:r>
                <m:sSub>
                  <m:sSubPr>
                    <m:ctrlPr>
                      <w:rPr>
                        <w:rFonts w:ascii="Cambria Math" w:eastAsia="Calibri" w:hAnsi="Cambria Math"/>
                        <w:iCs/>
                        <w:color w:val="000000"/>
                        <w:lang w:val="en-GB" w:eastAsia="en-US"/>
                      </w:rPr>
                    </m:ctrlPr>
                  </m:sSubPr>
                  <m:e>
                    <m:r>
                      <w:rPr>
                        <w:rFonts w:ascii="Cambria Math" w:eastAsia="Calibri" w:hAnsi="Cambria Math"/>
                        <w:color w:val="000000"/>
                        <w:lang w:val="en-GB" w:eastAsia="en-US"/>
                      </w:rPr>
                      <m:t>ε</m:t>
                    </m:r>
                  </m:e>
                  <m:sub>
                    <m:r>
                      <w:rPr>
                        <w:rFonts w:ascii="Cambria Math" w:eastAsia="Calibri" w:hAnsi="Cambria Math"/>
                        <w:color w:val="000000"/>
                        <w:lang w:val="en-GB" w:eastAsia="en-US"/>
                      </w:rPr>
                      <m:t>rt</m:t>
                    </m:r>
                  </m:sub>
                </m:sSub>
              </m:e>
            </m:nary>
          </m:e>
        </m:nary>
      </m:oMath>
      <w:r w:rsidRPr="001013CE">
        <w:rPr>
          <w:iCs/>
          <w:color w:val="000000"/>
          <w:lang w:val="en-GB" w:eastAsia="en-US"/>
        </w:rPr>
        <w:t xml:space="preserve">    </w:t>
      </w:r>
      <w:r w:rsidRPr="001013CE">
        <w:rPr>
          <w:rFonts w:eastAsia="Calibri"/>
          <w:iCs/>
          <w:color w:val="000000"/>
          <w:lang w:val="en-GB" w:eastAsia="en-US"/>
        </w:rPr>
        <w:t xml:space="preserve">( </w:t>
      </w:r>
      <w:r w:rsidRPr="001013CE">
        <w:rPr>
          <w:rFonts w:eastAsia="Calibri"/>
          <w:iCs/>
          <w:color w:val="000000"/>
          <w:lang w:val="en-GB" w:eastAsia="en-US"/>
        </w:rPr>
        <w:fldChar w:fldCharType="begin"/>
      </w:r>
      <w:r w:rsidRPr="001013CE">
        <w:rPr>
          <w:rFonts w:eastAsia="Calibri"/>
          <w:iCs/>
          <w:color w:val="000000"/>
          <w:lang w:val="en-GB" w:eastAsia="en-US"/>
        </w:rPr>
        <w:instrText xml:space="preserve"> SEQ ( \* ARABIC </w:instrText>
      </w:r>
      <w:r w:rsidRPr="001013CE">
        <w:rPr>
          <w:rFonts w:eastAsia="Calibri"/>
          <w:iCs/>
          <w:color w:val="000000"/>
          <w:lang w:val="en-GB" w:eastAsia="en-US"/>
        </w:rPr>
        <w:fldChar w:fldCharType="separate"/>
      </w:r>
      <w:r w:rsidRPr="001013CE">
        <w:rPr>
          <w:rFonts w:eastAsia="Calibri"/>
          <w:iCs/>
          <w:noProof/>
          <w:color w:val="000000"/>
          <w:lang w:val="en-GB" w:eastAsia="en-US"/>
        </w:rPr>
        <w:t>11</w:t>
      </w:r>
      <w:r w:rsidRPr="001013CE">
        <w:rPr>
          <w:rFonts w:eastAsia="Calibri"/>
          <w:iCs/>
          <w:color w:val="000000"/>
          <w:lang w:val="en-GB" w:eastAsia="en-US"/>
        </w:rPr>
        <w:fldChar w:fldCharType="end"/>
      </w:r>
      <w:r w:rsidRPr="001013CE">
        <w:rPr>
          <w:rFonts w:eastAsia="Calibri"/>
          <w:iCs/>
          <w:color w:val="000000"/>
          <w:lang w:val="en-GB" w:eastAsia="en-US"/>
        </w:rPr>
        <w:t xml:space="preserve"> )</w:t>
      </w:r>
    </w:p>
    <w:p w:rsidR="001013CE" w:rsidRPr="001013CE" w:rsidRDefault="001013CE" w:rsidP="001013CE">
      <w:pPr>
        <w:spacing w:before="120" w:after="120" w:line="360" w:lineRule="auto"/>
        <w:ind w:firstLine="708"/>
        <w:jc w:val="both"/>
        <w:rPr>
          <w:rFonts w:eastAsia="Calibri"/>
          <w:sz w:val="22"/>
          <w:szCs w:val="22"/>
          <w:lang w:val="en-GB" w:eastAsia="en-US"/>
        </w:rPr>
      </w:pPr>
      <w:r w:rsidRPr="001013CE">
        <w:rPr>
          <w:rFonts w:eastAsia="Calibri"/>
          <w:sz w:val="22"/>
          <w:szCs w:val="22"/>
          <w:lang w:val="en-GB" w:eastAsia="en-US"/>
        </w:rPr>
        <w:t xml:space="preserve">Where </w:t>
      </w:r>
      <m:oMath>
        <m:bar>
          <m:barPr>
            <m:pos m:val="top"/>
            <m:ctrlPr>
              <w:rPr>
                <w:rFonts w:ascii="Cambria Math" w:eastAsia="Calibri" w:hAnsi="Cambria Math"/>
                <w:i/>
                <w:sz w:val="22"/>
                <w:szCs w:val="22"/>
                <w:lang w:val="en-GB" w:eastAsia="en-US"/>
              </w:rPr>
            </m:ctrlPr>
          </m:barPr>
          <m:e>
            <m:r>
              <w:rPr>
                <w:rFonts w:ascii="Cambria Math" w:eastAsia="Calibri" w:hAnsi="Cambria Math"/>
                <w:sz w:val="22"/>
                <w:szCs w:val="22"/>
                <w:lang w:val="en-GB" w:eastAsia="en-US"/>
              </w:rPr>
              <m:t>z</m:t>
            </m:r>
          </m:e>
        </m:bar>
      </m:oMath>
      <w:r w:rsidRPr="001013CE">
        <w:rPr>
          <w:sz w:val="22"/>
          <w:szCs w:val="22"/>
          <w:lang w:val="en-GB" w:eastAsia="en-US"/>
        </w:rPr>
        <w:t xml:space="preserve"> indicate the cross-section averages and p indicates the maximum lags</w:t>
      </w:r>
      <w:r w:rsidRPr="001013CE">
        <w:rPr>
          <w:rFonts w:eastAsia="Calibri"/>
          <w:sz w:val="22"/>
          <w:szCs w:val="22"/>
          <w:lang w:val="en-GB" w:eastAsia="en-US"/>
        </w:rPr>
        <w:t xml:space="preserve">. Table I in the Appendix reports the </w:t>
      </w:r>
      <w:r w:rsidRPr="001013CE">
        <w:rPr>
          <w:rFonts w:eastAsia="Calibri"/>
          <w:i/>
          <w:sz w:val="22"/>
          <w:szCs w:val="22"/>
          <w:lang w:val="en-GB" w:eastAsia="en-US"/>
        </w:rPr>
        <w:t>t</w:t>
      </w:r>
      <w:r w:rsidRPr="001013CE">
        <w:rPr>
          <w:rFonts w:eastAsia="Calibri"/>
          <w:sz w:val="22"/>
          <w:szCs w:val="22"/>
          <w:lang w:val="en-GB" w:eastAsia="en-US"/>
        </w:rPr>
        <w:t>-bar statistics and the critical values from Pesaran (2007). At the NUTS3 level, the unit root test suggests that all variables are non-stationary in their level form when either a constant, or a constant and a trend are included in the specification. Not for capital, for which the hypothesis is rejected at 10% level of significance if there is no trend in the specification. Taking first differences, all variables become stationary at 1% level of significance.</w:t>
      </w:r>
    </w:p>
    <w:p w:rsidR="001013CE" w:rsidRPr="001013CE" w:rsidRDefault="001013CE" w:rsidP="001013CE">
      <w:pPr>
        <w:spacing w:before="120" w:after="120" w:line="360" w:lineRule="auto"/>
        <w:ind w:firstLine="360"/>
        <w:jc w:val="both"/>
        <w:rPr>
          <w:rFonts w:eastAsia="Calibri"/>
          <w:sz w:val="22"/>
          <w:szCs w:val="22"/>
          <w:lang w:val="en-GB" w:eastAsia="en-US"/>
        </w:rPr>
      </w:pPr>
      <w:r w:rsidRPr="001013CE">
        <w:rPr>
          <w:rFonts w:eastAsia="Calibri"/>
          <w:sz w:val="22"/>
          <w:szCs w:val="22"/>
          <w:lang w:val="en-GB" w:eastAsia="en-US"/>
        </w:rPr>
        <w:t>Since the data is non-stationary, it possibly exists a long run relationship between the variables value added, capital and labour. Pedroni (1999) set of tests is used to check for the null hypothesis of no cointegration. Table II in the Appendix reports the results from the non-parametric Phillips–Perron (PP) statistics and the parametric Augmented Dickey Fuller (ADF) statistics for panels and groups</w:t>
      </w:r>
      <w:r w:rsidRPr="001013CE">
        <w:rPr>
          <w:rFonts w:eastAsia="Calibri"/>
          <w:sz w:val="22"/>
          <w:szCs w:val="22"/>
          <w:vertAlign w:val="superscript"/>
          <w:lang w:val="en-GB" w:eastAsia="en-US"/>
        </w:rPr>
        <w:footnoteReference w:id="24"/>
      </w:r>
      <w:r w:rsidRPr="001013CE">
        <w:rPr>
          <w:rFonts w:eastAsia="Calibri"/>
          <w:sz w:val="22"/>
          <w:szCs w:val="22"/>
          <w:lang w:val="en-GB" w:eastAsia="en-US"/>
        </w:rPr>
        <w:t>. For the AACC (N=374), the hypothesis of no cointegration is overall rejected, except when a single intercept is included, according to the PP and ADF group statistics. Besides, the group PP statistic cannot reject the null if only a linear trend is added to the specification, neither the ADF panel statistics after the inclusion of time dummies. When the spatial lag of value added is added (</w:t>
      </w:r>
      <m:oMath>
        <m:r>
          <w:rPr>
            <w:rFonts w:ascii="Cambria Math" w:eastAsia="Calibri" w:hAnsi="Cambria Math"/>
            <w:sz w:val="22"/>
            <w:szCs w:val="22"/>
            <w:lang w:val="en-GB" w:eastAsia="en-US"/>
          </w:rPr>
          <m:t>Wva</m:t>
        </m:r>
      </m:oMath>
      <w:r w:rsidRPr="001013CE">
        <w:rPr>
          <w:rFonts w:eastAsia="Calibri"/>
          <w:sz w:val="22"/>
          <w:szCs w:val="22"/>
          <w:lang w:val="en-GB" w:eastAsia="en-US"/>
        </w:rPr>
        <w:t>), the long run relationship is significant at 1% level. Finally, at the Provinces level (N=700) the null of no cointegration is always rejected.</w:t>
      </w:r>
    </w:p>
    <w:p w:rsidR="001013CE" w:rsidRPr="001013CE" w:rsidRDefault="001013CE" w:rsidP="001013CE">
      <w:pPr>
        <w:keepNext/>
        <w:spacing w:after="200"/>
        <w:jc w:val="center"/>
        <w:rPr>
          <w:rFonts w:eastAsia="Calibri"/>
          <w:b/>
          <w:iCs/>
          <w:color w:val="000000"/>
          <w:sz w:val="20"/>
          <w:szCs w:val="20"/>
          <w:lang w:val="en-GB" w:eastAsia="en-US"/>
        </w:rPr>
      </w:pPr>
      <w:bookmarkStart w:id="29" w:name="_Toc448256212"/>
    </w:p>
    <w:p w:rsidR="001013CE" w:rsidRPr="001013CE" w:rsidRDefault="001013CE" w:rsidP="001013CE">
      <w:pPr>
        <w:keepNext/>
        <w:spacing w:after="200"/>
        <w:jc w:val="center"/>
        <w:rPr>
          <w:rFonts w:eastAsia="Calibri"/>
          <w:b/>
          <w:iCs/>
          <w:color w:val="000000"/>
          <w:sz w:val="20"/>
          <w:szCs w:val="20"/>
          <w:lang w:val="en-GB" w:eastAsia="en-US"/>
        </w:rPr>
      </w:pPr>
    </w:p>
    <w:p w:rsidR="001013CE" w:rsidRPr="001013CE" w:rsidRDefault="001013CE" w:rsidP="001013CE">
      <w:pPr>
        <w:keepNext/>
        <w:spacing w:after="200"/>
        <w:jc w:val="center"/>
        <w:rPr>
          <w:rFonts w:eastAsia="Calibri"/>
          <w:b/>
          <w:iCs/>
          <w:color w:val="000000"/>
          <w:sz w:val="20"/>
          <w:szCs w:val="20"/>
          <w:lang w:val="en-GB" w:eastAsia="en-US"/>
        </w:rPr>
      </w:pPr>
    </w:p>
    <w:p w:rsidR="001013CE" w:rsidRPr="001013CE" w:rsidRDefault="001013CE" w:rsidP="001013CE">
      <w:pPr>
        <w:keepNext/>
        <w:spacing w:after="200"/>
        <w:jc w:val="center"/>
        <w:rPr>
          <w:rFonts w:eastAsia="Calibri"/>
          <w:b/>
          <w:iCs/>
          <w:color w:val="000000"/>
          <w:sz w:val="20"/>
          <w:szCs w:val="20"/>
          <w:lang w:val="en-GB" w:eastAsia="en-US"/>
        </w:rPr>
      </w:pPr>
    </w:p>
    <w:p w:rsidR="001013CE" w:rsidRPr="001013CE" w:rsidRDefault="001013CE" w:rsidP="001013CE">
      <w:pPr>
        <w:spacing w:after="160" w:line="259" w:lineRule="auto"/>
        <w:rPr>
          <w:rFonts w:ascii="Calibri" w:eastAsia="Calibri" w:hAnsi="Calibri"/>
          <w:sz w:val="22"/>
          <w:szCs w:val="22"/>
          <w:lang w:val="en-GB" w:eastAsia="en-US"/>
        </w:rPr>
      </w:pPr>
    </w:p>
    <w:p w:rsidR="001013CE" w:rsidRPr="001013CE" w:rsidRDefault="001013CE" w:rsidP="001013CE">
      <w:pPr>
        <w:keepNext/>
        <w:spacing w:after="200"/>
        <w:jc w:val="center"/>
        <w:rPr>
          <w:rFonts w:eastAsia="Calibri"/>
          <w:i/>
          <w:iCs/>
          <w:color w:val="44546A"/>
          <w:sz w:val="18"/>
          <w:szCs w:val="18"/>
          <w:lang w:val="en-GB" w:eastAsia="en-US"/>
        </w:rPr>
      </w:pPr>
      <w:r w:rsidRPr="001013CE">
        <w:rPr>
          <w:rFonts w:eastAsia="Calibri"/>
          <w:b/>
          <w:iCs/>
          <w:color w:val="000000"/>
          <w:sz w:val="20"/>
          <w:szCs w:val="20"/>
          <w:lang w:val="en-GB" w:eastAsia="en-US"/>
        </w:rPr>
        <w:t xml:space="preserve">Table A.1. Pesaran panel data unit root test </w:t>
      </w:r>
      <w:bookmarkEnd w:id="29"/>
    </w:p>
    <w:tbl>
      <w:tblPr>
        <w:tblW w:w="4960" w:type="dxa"/>
        <w:jc w:val="center"/>
        <w:tblCellMar>
          <w:left w:w="70" w:type="dxa"/>
          <w:right w:w="70" w:type="dxa"/>
        </w:tblCellMar>
        <w:tblLook w:val="04A0" w:firstRow="1" w:lastRow="0" w:firstColumn="1" w:lastColumn="0" w:noHBand="0" w:noVBand="1"/>
      </w:tblPr>
      <w:tblGrid>
        <w:gridCol w:w="2240"/>
        <w:gridCol w:w="961"/>
        <w:gridCol w:w="1759"/>
      </w:tblGrid>
      <w:tr w:rsidR="001013CE" w:rsidRPr="001013CE" w:rsidTr="0043562D">
        <w:trPr>
          <w:trHeight w:val="320"/>
          <w:jc w:val="center"/>
        </w:trPr>
        <w:tc>
          <w:tcPr>
            <w:tcW w:w="2240"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20"/>
                <w:szCs w:val="20"/>
                <w:lang w:val="en-GB" w:eastAsia="en-US"/>
              </w:rPr>
            </w:pPr>
            <w:r w:rsidRPr="001013CE">
              <w:rPr>
                <w:b/>
                <w:bCs/>
                <w:color w:val="000000"/>
                <w:sz w:val="20"/>
                <w:szCs w:val="20"/>
                <w:lang w:val="en-GB" w:eastAsia="en-US"/>
              </w:rPr>
              <w:t>Intercept</w:t>
            </w:r>
          </w:p>
        </w:tc>
        <w:tc>
          <w:tcPr>
            <w:tcW w:w="961"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Levels</w:t>
            </w:r>
          </w:p>
        </w:tc>
        <w:tc>
          <w:tcPr>
            <w:tcW w:w="1759"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First differences</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lastRenderedPageBreak/>
              <w:t>Value added</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-1.716</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-3.495***</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Capital</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-1.401</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-2,431***</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Workers</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-1.746</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-2.949***</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TFP index</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-1.338</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-3.335***</w:t>
            </w:r>
          </w:p>
        </w:tc>
      </w:tr>
      <w:tr w:rsidR="001013CE" w:rsidRPr="001013CE" w:rsidTr="0043562D">
        <w:trPr>
          <w:trHeight w:val="320"/>
          <w:jc w:val="center"/>
        </w:trPr>
        <w:tc>
          <w:tcPr>
            <w:tcW w:w="2240"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20"/>
                <w:szCs w:val="20"/>
                <w:lang w:val="en-GB" w:eastAsia="en-US"/>
              </w:rPr>
            </w:pPr>
            <w:r w:rsidRPr="001013CE">
              <w:rPr>
                <w:b/>
                <w:bCs/>
                <w:color w:val="000000"/>
                <w:sz w:val="20"/>
                <w:szCs w:val="20"/>
                <w:lang w:val="en-GB" w:eastAsia="en-US"/>
              </w:rPr>
              <w:t>Intercept + trend</w:t>
            </w:r>
          </w:p>
        </w:tc>
        <w:tc>
          <w:tcPr>
            <w:tcW w:w="961"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Levels</w:t>
            </w:r>
          </w:p>
        </w:tc>
        <w:tc>
          <w:tcPr>
            <w:tcW w:w="1759"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First differences</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Value added</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-2.474</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-3.490***</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Capital</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-1.536</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-2,582*</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Workers</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-2.683**</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-3.121***</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TFP index</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-2.111</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-3.620**</w:t>
            </w:r>
          </w:p>
        </w:tc>
      </w:tr>
      <w:tr w:rsidR="001013CE" w:rsidRPr="001013CE" w:rsidTr="0043562D">
        <w:trPr>
          <w:trHeight w:val="320"/>
          <w:jc w:val="center"/>
        </w:trPr>
        <w:tc>
          <w:tcPr>
            <w:tcW w:w="2240"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20"/>
                <w:szCs w:val="20"/>
                <w:lang w:val="en-GB" w:eastAsia="en-US"/>
              </w:rPr>
            </w:pPr>
            <w:r w:rsidRPr="001013CE">
              <w:rPr>
                <w:b/>
                <w:bCs/>
                <w:color w:val="000000"/>
                <w:sz w:val="20"/>
                <w:szCs w:val="20"/>
                <w:lang w:val="en-GB" w:eastAsia="en-US"/>
              </w:rPr>
              <w:t>Confidence intervals</w:t>
            </w:r>
          </w:p>
        </w:tc>
        <w:tc>
          <w:tcPr>
            <w:tcW w:w="961"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jc w:val="center"/>
              <w:rPr>
                <w:color w:val="FF0000"/>
                <w:sz w:val="20"/>
                <w:szCs w:val="20"/>
                <w:lang w:val="en-GB" w:eastAsia="en-US"/>
              </w:rPr>
            </w:pPr>
            <w:r w:rsidRPr="001013CE">
              <w:rPr>
                <w:color w:val="FF0000"/>
                <w:sz w:val="20"/>
                <w:szCs w:val="20"/>
                <w:lang w:val="en-GB" w:eastAsia="en-US"/>
              </w:rPr>
              <w:t> </w:t>
            </w:r>
          </w:p>
        </w:tc>
        <w:tc>
          <w:tcPr>
            <w:tcW w:w="1759"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jc w:val="center"/>
              <w:rPr>
                <w:color w:val="FF0000"/>
                <w:sz w:val="20"/>
                <w:szCs w:val="20"/>
                <w:lang w:val="en-GB" w:eastAsia="en-US"/>
              </w:rPr>
            </w:pPr>
            <w:r w:rsidRPr="001013CE">
              <w:rPr>
                <w:color w:val="FF0000"/>
                <w:sz w:val="20"/>
                <w:szCs w:val="20"/>
                <w:lang w:val="en-GB" w:eastAsia="en-US"/>
              </w:rPr>
              <w:t> </w:t>
            </w:r>
          </w:p>
        </w:tc>
      </w:tr>
      <w:tr w:rsidR="001013CE" w:rsidRPr="001013CE" w:rsidTr="0043562D">
        <w:trPr>
          <w:trHeight w:val="30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 </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Intercept</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Intercept + trend</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i/>
                <w:iCs/>
                <w:color w:val="000000"/>
                <w:sz w:val="20"/>
                <w:szCs w:val="20"/>
                <w:lang w:val="en-GB" w:eastAsia="en-US"/>
              </w:rPr>
            </w:pPr>
            <w:r w:rsidRPr="001013CE">
              <w:rPr>
                <w:i/>
                <w:iCs/>
                <w:color w:val="000000"/>
                <w:sz w:val="20"/>
                <w:szCs w:val="20"/>
                <w:lang w:val="en-GB" w:eastAsia="en-US"/>
              </w:rPr>
              <w:t>1%</w:t>
            </w:r>
            <w:bookmarkStart w:id="30" w:name="_GoBack"/>
            <w:bookmarkEnd w:id="30"/>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-2.260</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-2.800</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i/>
                <w:iCs/>
                <w:color w:val="000000"/>
                <w:sz w:val="20"/>
                <w:szCs w:val="20"/>
                <w:lang w:val="en-GB" w:eastAsia="en-US"/>
              </w:rPr>
            </w:pPr>
            <w:r w:rsidRPr="001013CE">
              <w:rPr>
                <w:i/>
                <w:iCs/>
                <w:color w:val="000000"/>
                <w:sz w:val="20"/>
                <w:szCs w:val="20"/>
                <w:lang w:val="en-GB" w:eastAsia="en-US"/>
              </w:rPr>
              <w:t>5%</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-2.110</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-2.640</w:t>
            </w:r>
          </w:p>
        </w:tc>
      </w:tr>
      <w:tr w:rsidR="001013CE" w:rsidRPr="001013CE" w:rsidTr="0043562D">
        <w:trPr>
          <w:trHeight w:val="320"/>
          <w:jc w:val="center"/>
        </w:trPr>
        <w:tc>
          <w:tcPr>
            <w:tcW w:w="2240"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i/>
                <w:iCs/>
                <w:color w:val="000000"/>
                <w:sz w:val="20"/>
                <w:szCs w:val="20"/>
                <w:lang w:val="en-GB" w:eastAsia="en-US"/>
              </w:rPr>
            </w:pPr>
            <w:r w:rsidRPr="001013CE">
              <w:rPr>
                <w:i/>
                <w:iCs/>
                <w:color w:val="000000"/>
                <w:sz w:val="20"/>
                <w:szCs w:val="20"/>
                <w:lang w:val="en-GB" w:eastAsia="en-US"/>
              </w:rPr>
              <w:t>10%</w:t>
            </w:r>
          </w:p>
        </w:tc>
        <w:tc>
          <w:tcPr>
            <w:tcW w:w="961"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-2.030</w:t>
            </w:r>
          </w:p>
        </w:tc>
        <w:tc>
          <w:tcPr>
            <w:tcW w:w="1759"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color w:val="000000"/>
                <w:sz w:val="20"/>
                <w:szCs w:val="20"/>
                <w:lang w:val="en-GB" w:eastAsia="en-US"/>
              </w:rPr>
            </w:pPr>
            <w:r w:rsidRPr="001013CE">
              <w:rPr>
                <w:color w:val="000000"/>
                <w:sz w:val="20"/>
                <w:szCs w:val="20"/>
                <w:lang w:val="en-GB" w:eastAsia="en-US"/>
              </w:rPr>
              <w:t>-2.550</w:t>
            </w:r>
          </w:p>
        </w:tc>
      </w:tr>
    </w:tbl>
    <w:p w:rsidR="001013CE" w:rsidRPr="001013CE" w:rsidRDefault="001013CE" w:rsidP="001013CE">
      <w:pPr>
        <w:spacing w:after="160" w:line="259" w:lineRule="auto"/>
        <w:rPr>
          <w:rFonts w:eastAsia="Calibri"/>
          <w:sz w:val="22"/>
          <w:szCs w:val="22"/>
          <w:lang w:val="en-GB" w:eastAsia="en-US"/>
        </w:rPr>
      </w:pPr>
    </w:p>
    <w:p w:rsidR="001013CE" w:rsidRPr="001013CE" w:rsidRDefault="001013CE" w:rsidP="001013CE">
      <w:pPr>
        <w:keepNext/>
        <w:spacing w:after="200"/>
        <w:jc w:val="center"/>
        <w:rPr>
          <w:rFonts w:eastAsia="Calibri"/>
          <w:b/>
          <w:iCs/>
          <w:color w:val="44546A"/>
          <w:sz w:val="20"/>
          <w:szCs w:val="20"/>
          <w:lang w:val="en-GB" w:eastAsia="en-US"/>
        </w:rPr>
      </w:pPr>
      <w:bookmarkStart w:id="31" w:name="_Toc448256213"/>
      <w:r w:rsidRPr="001013CE">
        <w:rPr>
          <w:rFonts w:eastAsia="Calibri"/>
          <w:b/>
          <w:iCs/>
          <w:color w:val="000000"/>
          <w:sz w:val="20"/>
          <w:szCs w:val="20"/>
          <w:lang w:val="en-GB" w:eastAsia="en-US"/>
        </w:rPr>
        <w:t>Table A.2</w:t>
      </w:r>
      <w:r w:rsidRPr="001013CE">
        <w:rPr>
          <w:rFonts w:eastAsia="Calibri"/>
          <w:b/>
          <w:iCs/>
          <w:color w:val="000000"/>
          <w:sz w:val="20"/>
          <w:szCs w:val="20"/>
          <w:lang w:val="en-GB" w:eastAsia="en-US"/>
        </w:rPr>
        <w:fldChar w:fldCharType="begin"/>
      </w:r>
      <w:r w:rsidRPr="001013CE">
        <w:rPr>
          <w:rFonts w:eastAsia="Calibri"/>
          <w:b/>
          <w:iCs/>
          <w:color w:val="000000"/>
          <w:sz w:val="20"/>
          <w:szCs w:val="20"/>
          <w:lang w:val="en-GB" w:eastAsia="en-US"/>
        </w:rPr>
        <w:instrText xml:space="preserve"> SEQ Tabla \* ROMAN </w:instrText>
      </w:r>
      <w:r w:rsidRPr="001013CE">
        <w:rPr>
          <w:rFonts w:eastAsia="Calibri"/>
          <w:b/>
          <w:iCs/>
          <w:color w:val="000000"/>
          <w:sz w:val="20"/>
          <w:szCs w:val="20"/>
          <w:lang w:val="en-GB" w:eastAsia="en-US"/>
        </w:rPr>
        <w:fldChar w:fldCharType="end"/>
      </w:r>
      <w:r w:rsidRPr="001013CE">
        <w:rPr>
          <w:rFonts w:eastAsia="Calibri"/>
          <w:b/>
          <w:iCs/>
          <w:color w:val="000000"/>
          <w:sz w:val="20"/>
          <w:szCs w:val="20"/>
          <w:lang w:val="en-GB" w:eastAsia="en-US"/>
        </w:rPr>
        <w:t>. Pedroni cointegration test (PP and ADF)</w:t>
      </w:r>
      <w:bookmarkEnd w:id="31"/>
    </w:p>
    <w:tbl>
      <w:tblPr>
        <w:tblW w:w="0" w:type="auto"/>
        <w:jc w:val="center"/>
        <w:tblLayout w:type="fixed"/>
        <w:tblCellMar>
          <w:left w:w="70" w:type="dxa"/>
          <w:right w:w="70" w:type="dxa"/>
        </w:tblCellMar>
        <w:tblLook w:val="04A0" w:firstRow="1" w:lastRow="0" w:firstColumn="1" w:lastColumn="0" w:noHBand="0" w:noVBand="1"/>
      </w:tblPr>
      <w:tblGrid>
        <w:gridCol w:w="993"/>
        <w:gridCol w:w="1134"/>
        <w:gridCol w:w="689"/>
        <w:gridCol w:w="829"/>
        <w:gridCol w:w="689"/>
        <w:gridCol w:w="969"/>
      </w:tblGrid>
      <w:tr w:rsidR="001013CE" w:rsidRPr="001013CE" w:rsidTr="0043562D">
        <w:trPr>
          <w:trHeight w:val="320"/>
          <w:jc w:val="center"/>
        </w:trPr>
        <w:tc>
          <w:tcPr>
            <w:tcW w:w="993"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val="en-GB" w:eastAsia="en-US"/>
              </w:rPr>
            </w:pPr>
            <w:r w:rsidRPr="001013CE">
              <w:rPr>
                <w:color w:val="000000"/>
                <w:sz w:val="20"/>
                <w:szCs w:val="20"/>
                <w:lang w:val="en-GB" w:eastAsia="en-US"/>
              </w:rPr>
              <w:t> </w:t>
            </w:r>
          </w:p>
        </w:tc>
        <w:tc>
          <w:tcPr>
            <w:tcW w:w="1134" w:type="dxa"/>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val="en-GB" w:eastAsia="en-US"/>
              </w:rPr>
            </w:pPr>
            <w:r w:rsidRPr="001013CE">
              <w:rPr>
                <w:color w:val="000000"/>
                <w:sz w:val="20"/>
                <w:szCs w:val="20"/>
                <w:lang w:val="en-GB" w:eastAsia="en-US"/>
              </w:rPr>
              <w:t> </w:t>
            </w:r>
          </w:p>
        </w:tc>
        <w:tc>
          <w:tcPr>
            <w:tcW w:w="1518" w:type="dxa"/>
            <w:gridSpan w:val="2"/>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Panel</w:t>
            </w:r>
          </w:p>
        </w:tc>
        <w:tc>
          <w:tcPr>
            <w:tcW w:w="1658" w:type="dxa"/>
            <w:gridSpan w:val="2"/>
            <w:tcBorders>
              <w:top w:val="nil"/>
              <w:left w:val="nil"/>
              <w:bottom w:val="nil"/>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Group</w:t>
            </w:r>
          </w:p>
        </w:tc>
      </w:tr>
      <w:tr w:rsidR="001013CE" w:rsidRPr="001013CE" w:rsidTr="0043562D">
        <w:trPr>
          <w:trHeight w:val="340"/>
          <w:jc w:val="center"/>
        </w:trPr>
        <w:tc>
          <w:tcPr>
            <w:tcW w:w="993"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18"/>
                <w:szCs w:val="20"/>
                <w:lang w:val="en-GB" w:eastAsia="en-US"/>
              </w:rPr>
            </w:pPr>
            <w:r w:rsidRPr="001013CE">
              <w:rPr>
                <w:b/>
                <w:bCs/>
                <w:color w:val="000000"/>
                <w:sz w:val="18"/>
                <w:szCs w:val="20"/>
                <w:lang w:val="en-GB" w:eastAsia="en-US"/>
              </w:rPr>
              <w:t>Variables</w:t>
            </w:r>
          </w:p>
        </w:tc>
        <w:tc>
          <w:tcPr>
            <w:tcW w:w="1134"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b/>
                <w:bCs/>
                <w:color w:val="000000"/>
                <w:sz w:val="18"/>
                <w:szCs w:val="20"/>
                <w:lang w:val="en-GB" w:eastAsia="en-US"/>
              </w:rPr>
            </w:pPr>
            <w:r w:rsidRPr="001013CE">
              <w:rPr>
                <w:b/>
                <w:bCs/>
                <w:color w:val="000000"/>
                <w:sz w:val="18"/>
                <w:szCs w:val="20"/>
                <w:lang w:val="en-GB" w:eastAsia="en-US"/>
              </w:rPr>
              <w:t>Specification/Stat.</w:t>
            </w:r>
          </w:p>
        </w:tc>
        <w:tc>
          <w:tcPr>
            <w:tcW w:w="689"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18"/>
                <w:szCs w:val="20"/>
                <w:lang w:val="en-GB" w:eastAsia="en-US"/>
              </w:rPr>
            </w:pPr>
            <w:r w:rsidRPr="001013CE">
              <w:rPr>
                <w:b/>
                <w:bCs/>
                <w:color w:val="000000"/>
                <w:sz w:val="18"/>
                <w:szCs w:val="20"/>
                <w:lang w:val="en-GB" w:eastAsia="en-US"/>
              </w:rPr>
              <w:t>PP stat.</w:t>
            </w:r>
          </w:p>
        </w:tc>
        <w:tc>
          <w:tcPr>
            <w:tcW w:w="829"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18"/>
                <w:szCs w:val="20"/>
                <w:lang w:val="en-GB" w:eastAsia="en-US"/>
              </w:rPr>
            </w:pPr>
            <w:r w:rsidRPr="001013CE">
              <w:rPr>
                <w:b/>
                <w:bCs/>
                <w:color w:val="000000"/>
                <w:sz w:val="18"/>
                <w:szCs w:val="20"/>
                <w:lang w:val="en-GB" w:eastAsia="en-US"/>
              </w:rPr>
              <w:t>ADF stat.</w:t>
            </w:r>
          </w:p>
        </w:tc>
        <w:tc>
          <w:tcPr>
            <w:tcW w:w="689"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18"/>
                <w:szCs w:val="20"/>
                <w:lang w:val="en-GB" w:eastAsia="en-US"/>
              </w:rPr>
            </w:pPr>
            <w:r w:rsidRPr="001013CE">
              <w:rPr>
                <w:b/>
                <w:bCs/>
                <w:color w:val="000000"/>
                <w:sz w:val="18"/>
                <w:szCs w:val="20"/>
                <w:lang w:val="en-GB" w:eastAsia="en-US"/>
              </w:rPr>
              <w:t>PP stat.</w:t>
            </w:r>
          </w:p>
        </w:tc>
        <w:tc>
          <w:tcPr>
            <w:tcW w:w="969"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jc w:val="center"/>
              <w:rPr>
                <w:b/>
                <w:bCs/>
                <w:color w:val="000000"/>
                <w:sz w:val="18"/>
                <w:szCs w:val="20"/>
                <w:lang w:val="en-GB" w:eastAsia="en-US"/>
              </w:rPr>
            </w:pPr>
            <w:r w:rsidRPr="001013CE">
              <w:rPr>
                <w:b/>
                <w:bCs/>
                <w:color w:val="000000"/>
                <w:sz w:val="18"/>
                <w:szCs w:val="20"/>
                <w:lang w:val="en-GB" w:eastAsia="en-US"/>
              </w:rPr>
              <w:t>ADF stat.</w:t>
            </w:r>
          </w:p>
        </w:tc>
      </w:tr>
      <w:tr w:rsidR="001013CE" w:rsidRPr="001013CE" w:rsidTr="0043562D">
        <w:trPr>
          <w:trHeight w:val="600"/>
          <w:jc w:val="center"/>
        </w:trPr>
        <w:tc>
          <w:tcPr>
            <w:tcW w:w="993"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VA, K, L</w:t>
            </w:r>
          </w:p>
        </w:tc>
        <w:tc>
          <w:tcPr>
            <w:tcW w:w="1134"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Intercept</w:t>
            </w:r>
          </w:p>
        </w:tc>
        <w:tc>
          <w:tcPr>
            <w:tcW w:w="68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-3.503 (0.000)</w:t>
            </w:r>
          </w:p>
        </w:tc>
        <w:tc>
          <w:tcPr>
            <w:tcW w:w="82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-3.261  (0.000)</w:t>
            </w:r>
          </w:p>
        </w:tc>
        <w:tc>
          <w:tcPr>
            <w:tcW w:w="68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-2.771  (0.002)</w:t>
            </w:r>
          </w:p>
        </w:tc>
        <w:tc>
          <w:tcPr>
            <w:tcW w:w="96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-3.393 (0.000)</w:t>
            </w:r>
          </w:p>
        </w:tc>
      </w:tr>
      <w:tr w:rsidR="001013CE" w:rsidRPr="001013CE" w:rsidTr="0043562D">
        <w:trPr>
          <w:trHeight w:val="800"/>
          <w:jc w:val="center"/>
        </w:trPr>
        <w:tc>
          <w:tcPr>
            <w:tcW w:w="993"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VA, K, L</w:t>
            </w:r>
          </w:p>
        </w:tc>
        <w:tc>
          <w:tcPr>
            <w:tcW w:w="1134"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Intercept + Trend</w:t>
            </w:r>
          </w:p>
        </w:tc>
        <w:tc>
          <w:tcPr>
            <w:tcW w:w="68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-4.964  (0.000)</w:t>
            </w:r>
          </w:p>
        </w:tc>
        <w:tc>
          <w:tcPr>
            <w:tcW w:w="82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-5.299  (0.000)</w:t>
            </w:r>
          </w:p>
        </w:tc>
        <w:tc>
          <w:tcPr>
            <w:tcW w:w="68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-4.745  (0.000)</w:t>
            </w:r>
          </w:p>
        </w:tc>
        <w:tc>
          <w:tcPr>
            <w:tcW w:w="96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-5.665 (0.000)</w:t>
            </w:r>
          </w:p>
        </w:tc>
      </w:tr>
      <w:tr w:rsidR="001013CE" w:rsidRPr="001013CE" w:rsidTr="0043562D">
        <w:trPr>
          <w:trHeight w:val="700"/>
          <w:jc w:val="center"/>
        </w:trPr>
        <w:tc>
          <w:tcPr>
            <w:tcW w:w="993"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VA, K, L , time dummies</w:t>
            </w:r>
          </w:p>
        </w:tc>
        <w:tc>
          <w:tcPr>
            <w:tcW w:w="1134"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Intercept</w:t>
            </w:r>
          </w:p>
        </w:tc>
        <w:tc>
          <w:tcPr>
            <w:tcW w:w="68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-3.169 (0.001)</w:t>
            </w:r>
          </w:p>
        </w:tc>
        <w:tc>
          <w:tcPr>
            <w:tcW w:w="82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-3.405 (0.000)</w:t>
            </w:r>
          </w:p>
        </w:tc>
        <w:tc>
          <w:tcPr>
            <w:tcW w:w="68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-3.701 (0.000)</w:t>
            </w:r>
          </w:p>
        </w:tc>
        <w:tc>
          <w:tcPr>
            <w:tcW w:w="969" w:type="dxa"/>
            <w:tcBorders>
              <w:top w:val="nil"/>
              <w:left w:val="nil"/>
              <w:bottom w:val="nil"/>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-4.183 (0.000)</w:t>
            </w:r>
          </w:p>
        </w:tc>
      </w:tr>
      <w:tr w:rsidR="001013CE" w:rsidRPr="001013CE" w:rsidTr="0043562D">
        <w:trPr>
          <w:trHeight w:val="640"/>
          <w:jc w:val="center"/>
        </w:trPr>
        <w:tc>
          <w:tcPr>
            <w:tcW w:w="993" w:type="dxa"/>
            <w:tcBorders>
              <w:top w:val="nil"/>
              <w:left w:val="nil"/>
              <w:bottom w:val="single" w:sz="4" w:space="0" w:color="auto"/>
              <w:right w:val="nil"/>
            </w:tcBorders>
            <w:shd w:val="clear" w:color="000000" w:fill="FFFFFF"/>
            <w:vAlign w:val="center"/>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 xml:space="preserve">VA, K, L, Wva </w:t>
            </w:r>
          </w:p>
        </w:tc>
        <w:tc>
          <w:tcPr>
            <w:tcW w:w="1134" w:type="dxa"/>
            <w:tcBorders>
              <w:top w:val="nil"/>
              <w:left w:val="nil"/>
              <w:bottom w:val="single" w:sz="4" w:space="0" w:color="auto"/>
              <w:right w:val="nil"/>
            </w:tcBorders>
            <w:shd w:val="clear" w:color="000000" w:fill="FFFFFF"/>
            <w:vAlign w:val="center"/>
            <w:hideMark/>
          </w:tcPr>
          <w:p w:rsidR="001013CE" w:rsidRPr="001013CE" w:rsidRDefault="001013CE" w:rsidP="001013CE">
            <w:pPr>
              <w:spacing w:after="160" w:line="259" w:lineRule="auto"/>
              <w:rPr>
                <w:i/>
                <w:iCs/>
                <w:color w:val="000000"/>
                <w:sz w:val="20"/>
                <w:szCs w:val="20"/>
                <w:lang w:val="en-GB" w:eastAsia="en-US"/>
              </w:rPr>
            </w:pPr>
            <w:r w:rsidRPr="001013CE">
              <w:rPr>
                <w:i/>
                <w:iCs/>
                <w:color w:val="000000"/>
                <w:sz w:val="20"/>
                <w:szCs w:val="20"/>
                <w:lang w:val="en-GB" w:eastAsia="en-US"/>
              </w:rPr>
              <w:t>Intercept</w:t>
            </w:r>
          </w:p>
        </w:tc>
        <w:tc>
          <w:tcPr>
            <w:tcW w:w="689" w:type="dxa"/>
            <w:tcBorders>
              <w:top w:val="nil"/>
              <w:left w:val="nil"/>
              <w:bottom w:val="single" w:sz="4" w:space="0" w:color="auto"/>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-4.500 (0.000)</w:t>
            </w:r>
          </w:p>
        </w:tc>
        <w:tc>
          <w:tcPr>
            <w:tcW w:w="829" w:type="dxa"/>
            <w:tcBorders>
              <w:top w:val="nil"/>
              <w:left w:val="nil"/>
              <w:bottom w:val="single" w:sz="4" w:space="0" w:color="auto"/>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-2.911 (0.002)</w:t>
            </w:r>
          </w:p>
        </w:tc>
        <w:tc>
          <w:tcPr>
            <w:tcW w:w="689" w:type="dxa"/>
            <w:tcBorders>
              <w:top w:val="nil"/>
              <w:left w:val="nil"/>
              <w:bottom w:val="single" w:sz="4" w:space="0" w:color="auto"/>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-4.258 (0.000)</w:t>
            </w:r>
          </w:p>
        </w:tc>
        <w:tc>
          <w:tcPr>
            <w:tcW w:w="969" w:type="dxa"/>
            <w:tcBorders>
              <w:top w:val="nil"/>
              <w:left w:val="nil"/>
              <w:bottom w:val="single" w:sz="4" w:space="0" w:color="auto"/>
              <w:right w:val="nil"/>
            </w:tcBorders>
            <w:shd w:val="clear" w:color="000000" w:fill="FFFFFF"/>
            <w:vAlign w:val="center"/>
            <w:hideMark/>
          </w:tcPr>
          <w:p w:rsidR="001013CE" w:rsidRPr="001013CE" w:rsidRDefault="001013CE" w:rsidP="001013CE">
            <w:pPr>
              <w:spacing w:after="160" w:line="259" w:lineRule="auto"/>
              <w:jc w:val="center"/>
              <w:rPr>
                <w:color w:val="000000"/>
                <w:sz w:val="18"/>
                <w:szCs w:val="20"/>
                <w:lang w:val="en-GB" w:eastAsia="en-US"/>
              </w:rPr>
            </w:pPr>
            <w:r w:rsidRPr="001013CE">
              <w:rPr>
                <w:color w:val="000000"/>
                <w:sz w:val="18"/>
                <w:szCs w:val="20"/>
                <w:lang w:val="en-GB" w:eastAsia="en-US"/>
              </w:rPr>
              <w:t>-3.510  (0.000)</w:t>
            </w:r>
          </w:p>
        </w:tc>
      </w:tr>
      <w:tr w:rsidR="001013CE" w:rsidRPr="001013CE" w:rsidTr="0043562D">
        <w:trPr>
          <w:trHeight w:val="320"/>
          <w:jc w:val="center"/>
        </w:trPr>
        <w:tc>
          <w:tcPr>
            <w:tcW w:w="993"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val="en-GB" w:eastAsia="en-US"/>
              </w:rPr>
            </w:pPr>
            <w:r w:rsidRPr="001013CE">
              <w:rPr>
                <w:color w:val="000000"/>
                <w:sz w:val="20"/>
                <w:szCs w:val="20"/>
                <w:lang w:val="en-GB" w:eastAsia="en-US"/>
              </w:rPr>
              <w:t> </w:t>
            </w:r>
          </w:p>
        </w:tc>
        <w:tc>
          <w:tcPr>
            <w:tcW w:w="1134" w:type="dxa"/>
            <w:tcBorders>
              <w:top w:val="nil"/>
              <w:left w:val="nil"/>
              <w:bottom w:val="single" w:sz="4" w:space="0" w:color="auto"/>
              <w:right w:val="nil"/>
            </w:tcBorders>
            <w:shd w:val="clear" w:color="000000" w:fill="FFFFFF"/>
            <w:noWrap/>
            <w:vAlign w:val="bottom"/>
            <w:hideMark/>
          </w:tcPr>
          <w:p w:rsidR="001013CE" w:rsidRPr="001013CE" w:rsidRDefault="001013CE" w:rsidP="001013CE">
            <w:pPr>
              <w:spacing w:after="160" w:line="259" w:lineRule="auto"/>
              <w:rPr>
                <w:color w:val="000000"/>
                <w:sz w:val="20"/>
                <w:szCs w:val="20"/>
                <w:lang w:val="en-GB" w:eastAsia="en-US"/>
              </w:rPr>
            </w:pPr>
            <w:r w:rsidRPr="001013CE">
              <w:rPr>
                <w:color w:val="000000"/>
                <w:sz w:val="20"/>
                <w:szCs w:val="20"/>
                <w:lang w:val="en-GB" w:eastAsia="en-US"/>
              </w:rPr>
              <w:t> </w:t>
            </w:r>
          </w:p>
        </w:tc>
        <w:tc>
          <w:tcPr>
            <w:tcW w:w="3176" w:type="dxa"/>
            <w:gridSpan w:val="4"/>
            <w:tcBorders>
              <w:top w:val="nil"/>
              <w:left w:val="nil"/>
              <w:bottom w:val="single" w:sz="4" w:space="0" w:color="auto"/>
              <w:right w:val="nil"/>
            </w:tcBorders>
            <w:shd w:val="clear" w:color="000000" w:fill="FFFFFF"/>
            <w:noWrap/>
            <w:vAlign w:val="center"/>
            <w:hideMark/>
          </w:tcPr>
          <w:p w:rsidR="001013CE" w:rsidRPr="001013CE" w:rsidRDefault="001013CE" w:rsidP="001013CE">
            <w:pPr>
              <w:spacing w:after="160" w:line="259" w:lineRule="auto"/>
              <w:jc w:val="center"/>
              <w:rPr>
                <w:b/>
                <w:bCs/>
                <w:color w:val="000000"/>
                <w:sz w:val="20"/>
                <w:szCs w:val="20"/>
                <w:lang w:val="en-GB" w:eastAsia="en-US"/>
              </w:rPr>
            </w:pPr>
            <w:r w:rsidRPr="001013CE">
              <w:rPr>
                <w:b/>
                <w:bCs/>
                <w:color w:val="000000"/>
                <w:sz w:val="20"/>
                <w:szCs w:val="20"/>
                <w:lang w:val="en-GB" w:eastAsia="en-US"/>
              </w:rPr>
              <w:t>No. obs. 700</w:t>
            </w:r>
          </w:p>
        </w:tc>
      </w:tr>
    </w:tbl>
    <w:p w:rsidR="001013CE" w:rsidRPr="001013CE" w:rsidRDefault="001013CE" w:rsidP="001013CE">
      <w:pPr>
        <w:spacing w:before="120" w:after="120" w:line="360" w:lineRule="auto"/>
        <w:jc w:val="both"/>
        <w:rPr>
          <w:rFonts w:eastAsia="Calibri"/>
          <w:sz w:val="22"/>
          <w:szCs w:val="22"/>
          <w:lang w:val="en-GB" w:eastAsia="en-US"/>
        </w:rPr>
      </w:pPr>
    </w:p>
    <w:p w:rsidR="001013CE" w:rsidRPr="001013CE" w:rsidRDefault="001013CE" w:rsidP="001013CE">
      <w:pPr>
        <w:spacing w:after="160" w:line="259" w:lineRule="auto"/>
        <w:rPr>
          <w:rFonts w:eastAsia="Calibri"/>
          <w:sz w:val="22"/>
          <w:szCs w:val="22"/>
          <w:lang w:val="en-GB" w:eastAsia="en-US"/>
        </w:rPr>
      </w:pPr>
    </w:p>
    <w:p w:rsidR="00A9409B" w:rsidRPr="00795CEF" w:rsidRDefault="00A9409B" w:rsidP="00787F68">
      <w:pPr>
        <w:spacing w:line="360" w:lineRule="auto"/>
        <w:rPr>
          <w:lang w:val="en-GB"/>
        </w:rPr>
      </w:pPr>
    </w:p>
    <w:p w:rsidR="00A9409B" w:rsidRPr="00795CEF" w:rsidRDefault="00A9409B" w:rsidP="00787F68">
      <w:pPr>
        <w:spacing w:line="360" w:lineRule="auto"/>
        <w:rPr>
          <w:lang w:val="en-GB"/>
        </w:rPr>
      </w:pPr>
    </w:p>
    <w:p w:rsidR="00A9409B" w:rsidRPr="00795CEF" w:rsidRDefault="00A9409B" w:rsidP="00787F68">
      <w:pPr>
        <w:spacing w:line="360" w:lineRule="auto"/>
        <w:rPr>
          <w:lang w:val="en-GB"/>
        </w:rPr>
      </w:pPr>
    </w:p>
    <w:p w:rsidR="006A10A1" w:rsidRPr="00795CEF" w:rsidRDefault="006A10A1" w:rsidP="00787F68">
      <w:pPr>
        <w:spacing w:line="360" w:lineRule="auto"/>
        <w:rPr>
          <w:lang w:val="en-GB"/>
        </w:rPr>
      </w:pPr>
    </w:p>
    <w:sectPr w:rsidR="006A10A1" w:rsidRPr="00795CEF" w:rsidSect="00075019">
      <w:headerReference w:type="default" r:id="rId19"/>
      <w:pgSz w:w="11906" w:h="16838"/>
      <w:pgMar w:top="1819" w:right="1701"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7E6A" w:rsidRDefault="000D7E6A" w:rsidP="00893C47">
      <w:r>
        <w:separator/>
      </w:r>
    </w:p>
  </w:endnote>
  <w:endnote w:type="continuationSeparator" w:id="0">
    <w:p w:rsidR="000D7E6A" w:rsidRDefault="000D7E6A" w:rsidP="00893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4000ACFF" w:usb2="00000001" w:usb3="00000000" w:csb0="000001FF" w:csb1="00000000"/>
  </w:font>
  <w:font w:name="Yu Mincho">
    <w:altName w:val="游明朝"/>
    <w:panose1 w:val="00000000000000000000"/>
    <w:charset w:val="80"/>
    <w:family w:val="roman"/>
    <w:notTrueType/>
    <w:pitch w:val="default"/>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7E6A" w:rsidRDefault="000D7E6A" w:rsidP="00893C47">
      <w:r>
        <w:separator/>
      </w:r>
    </w:p>
  </w:footnote>
  <w:footnote w:type="continuationSeparator" w:id="0">
    <w:p w:rsidR="000D7E6A" w:rsidRDefault="000D7E6A" w:rsidP="00893C47">
      <w:r>
        <w:continuationSeparator/>
      </w:r>
    </w:p>
  </w:footnote>
  <w:footnote w:id="1">
    <w:p w:rsidR="001013CE" w:rsidRPr="000803EB" w:rsidRDefault="001013CE" w:rsidP="001013CE">
      <w:pPr>
        <w:pStyle w:val="Textonotapie"/>
        <w:jc w:val="both"/>
        <w:rPr>
          <w:rStyle w:val="Refdenotaalpie"/>
          <w:sz w:val="20"/>
          <w:szCs w:val="20"/>
          <w:lang w:val="en-US"/>
        </w:rPr>
      </w:pPr>
      <w:r w:rsidRPr="000803EB">
        <w:rPr>
          <w:rStyle w:val="Refdenotaalpie"/>
          <w:sz w:val="20"/>
          <w:szCs w:val="20"/>
        </w:rPr>
        <w:footnoteRef/>
      </w:r>
      <w:r w:rsidRPr="000803EB">
        <w:rPr>
          <w:sz w:val="20"/>
          <w:szCs w:val="20"/>
          <w:lang w:val="en-US"/>
        </w:rPr>
        <w:t xml:space="preserve"> See Maroto (2012) for</w:t>
      </w:r>
      <w:r w:rsidRPr="000803EB">
        <w:rPr>
          <w:rStyle w:val="Refdenotaalpie"/>
          <w:sz w:val="20"/>
          <w:szCs w:val="20"/>
          <w:lang w:val="en-US"/>
        </w:rPr>
        <w:t xml:space="preserve"> a review of </w:t>
      </w:r>
      <w:r>
        <w:rPr>
          <w:rStyle w:val="Refdenotaalpie"/>
          <w:sz w:val="20"/>
          <w:szCs w:val="20"/>
          <w:lang w:val="en-US"/>
        </w:rPr>
        <w:t>the literature on productivity and</w:t>
      </w:r>
      <w:r w:rsidRPr="000803EB">
        <w:rPr>
          <w:rStyle w:val="Refdenotaalpie"/>
          <w:sz w:val="20"/>
          <w:szCs w:val="20"/>
          <w:lang w:val="en-US"/>
        </w:rPr>
        <w:t xml:space="preserve"> economic growth</w:t>
      </w:r>
      <w:r>
        <w:rPr>
          <w:sz w:val="20"/>
          <w:szCs w:val="20"/>
          <w:lang w:val="en-US"/>
        </w:rPr>
        <w:t>, and Maroto (2013) for a revision of the literature on productivity and regional and territorial developments.</w:t>
      </w:r>
      <w:r w:rsidRPr="00B857F6">
        <w:rPr>
          <w:rStyle w:val="Refdenotaalpie"/>
          <w:sz w:val="20"/>
          <w:szCs w:val="20"/>
          <w:lang w:val="en-US"/>
        </w:rPr>
        <w:t xml:space="preserve"> </w:t>
      </w:r>
    </w:p>
  </w:footnote>
  <w:footnote w:id="2">
    <w:p w:rsidR="001013CE" w:rsidRPr="001C6ACB" w:rsidRDefault="001013CE" w:rsidP="001013CE">
      <w:pPr>
        <w:pStyle w:val="Textonotapie"/>
        <w:jc w:val="both"/>
        <w:rPr>
          <w:sz w:val="20"/>
          <w:lang w:val="en-US"/>
        </w:rPr>
      </w:pPr>
      <w:r w:rsidRPr="001C6ACB">
        <w:rPr>
          <w:rStyle w:val="Refdenotaalpie"/>
          <w:sz w:val="20"/>
        </w:rPr>
        <w:footnoteRef/>
      </w:r>
      <w:r w:rsidRPr="001C6ACB">
        <w:rPr>
          <w:sz w:val="20"/>
          <w:lang w:val="en-US"/>
        </w:rPr>
        <w:t xml:space="preserve"> Advances in the field of spatial econometrics respond to two reasons: in first place, the growing interest in modeling spatial interactions between heterogeneous agents and; second, because of the generalization of the geographic information system (GIS), which allows to analyze and manage distinct kinds of spatial data (Anselin, 2001).</w:t>
      </w:r>
    </w:p>
  </w:footnote>
  <w:footnote w:id="3">
    <w:p w:rsidR="001013CE" w:rsidRPr="00C54BCD" w:rsidRDefault="001013CE" w:rsidP="001013CE">
      <w:pPr>
        <w:pStyle w:val="Textonotapie"/>
        <w:jc w:val="both"/>
        <w:rPr>
          <w:sz w:val="20"/>
          <w:szCs w:val="20"/>
          <w:lang w:val="en-US"/>
        </w:rPr>
      </w:pPr>
      <w:r w:rsidRPr="00A54E7B">
        <w:rPr>
          <w:rStyle w:val="Refdenotaalpie"/>
          <w:sz w:val="20"/>
          <w:szCs w:val="20"/>
        </w:rPr>
        <w:footnoteRef/>
      </w:r>
      <w:r w:rsidRPr="00C54BCD">
        <w:rPr>
          <w:sz w:val="20"/>
          <w:szCs w:val="20"/>
          <w:lang w:val="en-US"/>
        </w:rPr>
        <w:t xml:space="preserve"> </w:t>
      </w:r>
      <w:r w:rsidRPr="00B737F4">
        <w:rPr>
          <w:sz w:val="20"/>
          <w:szCs w:val="20"/>
          <w:lang w:val="en-GB"/>
        </w:rPr>
        <w:t xml:space="preserve">The production functions in </w:t>
      </w:r>
      <w:r>
        <w:rPr>
          <w:sz w:val="20"/>
          <w:szCs w:val="20"/>
          <w:lang w:val="en-GB"/>
        </w:rPr>
        <w:t>section</w:t>
      </w:r>
      <w:r w:rsidRPr="00B737F4">
        <w:rPr>
          <w:sz w:val="20"/>
          <w:szCs w:val="20"/>
          <w:lang w:val="en-GB"/>
        </w:rPr>
        <w:t xml:space="preserve"> 5 are estimated at two different scales to add robustness to the research</w:t>
      </w:r>
      <w:r>
        <w:rPr>
          <w:sz w:val="20"/>
          <w:szCs w:val="20"/>
          <w:lang w:val="en-GB"/>
        </w:rPr>
        <w:t>.</w:t>
      </w:r>
    </w:p>
  </w:footnote>
  <w:footnote w:id="4">
    <w:p w:rsidR="001013CE" w:rsidRPr="001860B4" w:rsidRDefault="001013CE" w:rsidP="001013CE">
      <w:pPr>
        <w:pStyle w:val="Textonotapie"/>
        <w:jc w:val="both"/>
        <w:rPr>
          <w:sz w:val="20"/>
          <w:lang w:val="en-GB"/>
        </w:rPr>
      </w:pPr>
      <w:r w:rsidRPr="001860B4">
        <w:rPr>
          <w:rStyle w:val="Refdenotaalpie"/>
          <w:sz w:val="20"/>
        </w:rPr>
        <w:footnoteRef/>
      </w:r>
      <w:r w:rsidRPr="001860B4">
        <w:rPr>
          <w:sz w:val="20"/>
          <w:lang w:val="en-GB"/>
        </w:rPr>
        <w:t xml:space="preserve"> Both terms are often used without discrimination in empirical studies</w:t>
      </w:r>
      <w:r>
        <w:rPr>
          <w:sz w:val="20"/>
          <w:lang w:val="en-GB"/>
        </w:rPr>
        <w:t xml:space="preserve"> although TFP should refer to when all inputs related to the production process are considered while MFP should refer to approaches that introduce more than one input (</w:t>
      </w:r>
      <w:r w:rsidRPr="001860B4">
        <w:rPr>
          <w:i/>
          <w:sz w:val="20"/>
          <w:lang w:val="en-GB"/>
        </w:rPr>
        <w:t>partial productivity</w:t>
      </w:r>
      <w:r>
        <w:rPr>
          <w:sz w:val="20"/>
          <w:lang w:val="en-GB"/>
        </w:rPr>
        <w:t>) into the estimation</w:t>
      </w:r>
      <w:r w:rsidRPr="001860B4">
        <w:rPr>
          <w:sz w:val="20"/>
          <w:lang w:val="en-GB"/>
        </w:rPr>
        <w:t>.</w:t>
      </w:r>
    </w:p>
  </w:footnote>
  <w:footnote w:id="5">
    <w:p w:rsidR="001013CE" w:rsidRPr="002D7537" w:rsidRDefault="001013CE" w:rsidP="001013CE">
      <w:pPr>
        <w:pStyle w:val="Textonotapie"/>
        <w:jc w:val="both"/>
        <w:rPr>
          <w:sz w:val="20"/>
          <w:szCs w:val="20"/>
          <w:lang w:val="en-GB"/>
        </w:rPr>
      </w:pPr>
      <w:r w:rsidRPr="00A54E7B">
        <w:rPr>
          <w:rStyle w:val="Refdenotaalpie"/>
          <w:sz w:val="20"/>
          <w:szCs w:val="20"/>
        </w:rPr>
        <w:footnoteRef/>
      </w:r>
      <w:r w:rsidRPr="00C54BCD">
        <w:rPr>
          <w:sz w:val="20"/>
          <w:szCs w:val="20"/>
          <w:lang w:val="en-US"/>
        </w:rPr>
        <w:t xml:space="preserve"> </w:t>
      </w:r>
      <w:r w:rsidRPr="002D7537">
        <w:rPr>
          <w:sz w:val="20"/>
          <w:szCs w:val="20"/>
          <w:lang w:val="en-GB"/>
        </w:rPr>
        <w:t xml:space="preserve">Many authors </w:t>
      </w:r>
      <w:r>
        <w:rPr>
          <w:sz w:val="20"/>
          <w:szCs w:val="20"/>
          <w:lang w:val="en-GB"/>
        </w:rPr>
        <w:t>choose</w:t>
      </w:r>
      <w:r w:rsidRPr="002D7537">
        <w:rPr>
          <w:sz w:val="20"/>
          <w:szCs w:val="20"/>
          <w:lang w:val="en-GB"/>
        </w:rPr>
        <w:t xml:space="preserve"> a constant value, usually 0.3 (Hall and Jones, 1999; Klenow and Rodriguez-Clare, 2004). </w:t>
      </w:r>
    </w:p>
  </w:footnote>
  <w:footnote w:id="6">
    <w:p w:rsidR="001013CE" w:rsidRPr="002D7537" w:rsidRDefault="001013CE" w:rsidP="001013CE">
      <w:pPr>
        <w:pStyle w:val="Textonotapie"/>
        <w:jc w:val="both"/>
        <w:rPr>
          <w:sz w:val="20"/>
          <w:szCs w:val="20"/>
          <w:lang w:val="en-GB"/>
        </w:rPr>
      </w:pPr>
      <w:r w:rsidRPr="00A54E7B">
        <w:rPr>
          <w:rStyle w:val="Refdenotaalpie"/>
          <w:sz w:val="20"/>
          <w:szCs w:val="20"/>
        </w:rPr>
        <w:footnoteRef/>
      </w:r>
      <w:r w:rsidRPr="002D7537">
        <w:rPr>
          <w:sz w:val="20"/>
          <w:szCs w:val="20"/>
          <w:lang w:val="en-GB"/>
        </w:rPr>
        <w:t xml:space="preserve"> The inclusion of time invariant effect</w:t>
      </w:r>
      <w:r>
        <w:rPr>
          <w:sz w:val="20"/>
          <w:szCs w:val="20"/>
          <w:lang w:val="en-GB"/>
        </w:rPr>
        <w:t>s</w:t>
      </w:r>
      <w:r w:rsidRPr="002D7537">
        <w:rPr>
          <w:sz w:val="20"/>
          <w:szCs w:val="20"/>
          <w:lang w:val="en-GB"/>
        </w:rPr>
        <w:t xml:space="preserve"> is common in the literature on regional economics (</w:t>
      </w:r>
      <w:r w:rsidRPr="00C54BCD">
        <w:rPr>
          <w:sz w:val="20"/>
          <w:szCs w:val="20"/>
          <w:lang w:val="en-US"/>
        </w:rPr>
        <w:t xml:space="preserve">Ascari and Di Cosmo, 2004; Bronzini and Pisselli, 2006; Dettori et al., 2010, </w:t>
      </w:r>
      <w:r>
        <w:rPr>
          <w:sz w:val="20"/>
          <w:szCs w:val="20"/>
          <w:lang w:val="en-US"/>
        </w:rPr>
        <w:t>among others</w:t>
      </w:r>
      <w:r w:rsidRPr="00C54BCD">
        <w:rPr>
          <w:sz w:val="20"/>
          <w:szCs w:val="20"/>
          <w:lang w:val="en-US"/>
        </w:rPr>
        <w:t>)</w:t>
      </w:r>
    </w:p>
  </w:footnote>
  <w:footnote w:id="7">
    <w:p w:rsidR="001013CE" w:rsidRPr="00B709E2" w:rsidRDefault="001013CE" w:rsidP="001013CE">
      <w:pPr>
        <w:pStyle w:val="Textonotapie"/>
        <w:jc w:val="both"/>
        <w:rPr>
          <w:sz w:val="20"/>
          <w:szCs w:val="20"/>
          <w:lang w:val="en-GB"/>
        </w:rPr>
      </w:pPr>
      <w:r w:rsidRPr="00A54E7B">
        <w:rPr>
          <w:rStyle w:val="Refdenotaalpie"/>
          <w:sz w:val="20"/>
          <w:szCs w:val="20"/>
        </w:rPr>
        <w:footnoteRef/>
      </w:r>
      <w:r w:rsidRPr="00C0029D">
        <w:rPr>
          <w:sz w:val="20"/>
          <w:szCs w:val="20"/>
          <w:lang w:val="en-GB"/>
        </w:rPr>
        <w:t xml:space="preserve"> </w:t>
      </w:r>
      <w:r w:rsidRPr="00B709E2">
        <w:rPr>
          <w:sz w:val="20"/>
          <w:szCs w:val="20"/>
          <w:lang w:val="en-GB"/>
        </w:rPr>
        <w:t>The elements of the contiguity matrix take value 1 if a pair of regions shares the same border and 0 otherwise. This matrix is also row-standardized as it is common in the literature (LeSage, 1999).</w:t>
      </w:r>
    </w:p>
  </w:footnote>
  <w:footnote w:id="8">
    <w:p w:rsidR="001013CE" w:rsidRPr="00B709E2" w:rsidRDefault="001013CE" w:rsidP="001013CE">
      <w:pPr>
        <w:pStyle w:val="Textonotapie"/>
        <w:jc w:val="both"/>
        <w:rPr>
          <w:sz w:val="20"/>
          <w:szCs w:val="20"/>
          <w:lang w:val="en-GB"/>
        </w:rPr>
      </w:pPr>
      <w:r w:rsidRPr="00A54E7B">
        <w:rPr>
          <w:rStyle w:val="Refdenotaalpie"/>
          <w:sz w:val="20"/>
          <w:szCs w:val="20"/>
        </w:rPr>
        <w:footnoteRef/>
      </w:r>
      <w:r w:rsidRPr="00A54E7B">
        <w:rPr>
          <w:sz w:val="20"/>
          <w:szCs w:val="20"/>
          <w:vertAlign w:val="superscript"/>
          <w:lang w:val="en-GB"/>
        </w:rPr>
        <w:t xml:space="preserve"> </w:t>
      </w:r>
      <w:r w:rsidRPr="00B709E2">
        <w:rPr>
          <w:sz w:val="20"/>
          <w:szCs w:val="20"/>
          <w:lang w:val="en-GB"/>
        </w:rPr>
        <w:t>NUTS stands for the National Territorial Units for Statistics, a commonly used system to subdivide the area of the EU. The number 3 indicates the smallest level of aggregation.</w:t>
      </w:r>
    </w:p>
  </w:footnote>
  <w:footnote w:id="9">
    <w:p w:rsidR="001013CE" w:rsidRPr="008230C1" w:rsidRDefault="001013CE" w:rsidP="001013CE">
      <w:pPr>
        <w:jc w:val="both"/>
        <w:rPr>
          <w:sz w:val="20"/>
          <w:szCs w:val="20"/>
          <w:lang w:val="en-US"/>
        </w:rPr>
      </w:pPr>
      <w:r w:rsidRPr="008230C1">
        <w:rPr>
          <w:rStyle w:val="Refdenotaalpie"/>
          <w:sz w:val="20"/>
          <w:szCs w:val="20"/>
        </w:rPr>
        <w:footnoteRef/>
      </w:r>
      <w:r w:rsidRPr="008230C1">
        <w:rPr>
          <w:sz w:val="20"/>
          <w:szCs w:val="20"/>
          <w:lang w:val="en-US"/>
        </w:rPr>
        <w:t xml:space="preserve"> GADM database provides the coordinates of the regions limits at every level of aggregation. In particular, this file contains the geographical coordinates of the regions’ boundaries that are required for mapping economic data and for building the distance-based weights matrices used in the econometric analysis.  Using this file facilitates the management of spatial data through </w:t>
      </w:r>
      <w:r>
        <w:rPr>
          <w:sz w:val="20"/>
          <w:szCs w:val="20"/>
          <w:lang w:val="en-US"/>
        </w:rPr>
        <w:t>different statistical packages</w:t>
      </w:r>
      <w:r w:rsidRPr="008230C1">
        <w:rPr>
          <w:sz w:val="20"/>
          <w:szCs w:val="20"/>
          <w:lang w:val="en-US"/>
        </w:rPr>
        <w:t xml:space="preserve"> such as Stata. See </w:t>
      </w:r>
      <w:r w:rsidRPr="001013CE">
        <w:rPr>
          <w:color w:val="000000"/>
          <w:sz w:val="20"/>
          <w:szCs w:val="20"/>
          <w:shd w:val="clear" w:color="auto" w:fill="FFFFFF"/>
          <w:lang w:val="en-US"/>
        </w:rPr>
        <w:t>www.</w:t>
      </w:r>
      <w:r w:rsidRPr="001013CE">
        <w:rPr>
          <w:b/>
          <w:bCs/>
          <w:color w:val="000000"/>
          <w:sz w:val="20"/>
          <w:szCs w:val="20"/>
          <w:shd w:val="clear" w:color="auto" w:fill="FFFFFF"/>
          <w:lang w:val="en-US"/>
        </w:rPr>
        <w:t>gadm</w:t>
      </w:r>
      <w:r w:rsidRPr="001013CE">
        <w:rPr>
          <w:color w:val="000000"/>
          <w:sz w:val="20"/>
          <w:szCs w:val="20"/>
          <w:shd w:val="clear" w:color="auto" w:fill="FFFFFF"/>
          <w:lang w:val="en-US"/>
        </w:rPr>
        <w:t>.org/.</w:t>
      </w:r>
    </w:p>
  </w:footnote>
  <w:footnote w:id="10">
    <w:p w:rsidR="001013CE" w:rsidRPr="00045B79" w:rsidRDefault="001013CE" w:rsidP="001013CE">
      <w:pPr>
        <w:pStyle w:val="Textonotapie"/>
        <w:jc w:val="both"/>
        <w:rPr>
          <w:sz w:val="20"/>
          <w:szCs w:val="20"/>
          <w:lang w:val="en-GB"/>
        </w:rPr>
      </w:pPr>
      <w:r w:rsidRPr="008575D6">
        <w:rPr>
          <w:rStyle w:val="Refdenotaalpie"/>
          <w:sz w:val="20"/>
          <w:szCs w:val="20"/>
        </w:rPr>
        <w:footnoteRef/>
      </w:r>
      <w:r w:rsidRPr="00045B79">
        <w:rPr>
          <w:sz w:val="20"/>
          <w:szCs w:val="20"/>
          <w:lang w:val="en-GB"/>
        </w:rPr>
        <w:t xml:space="preserve"> Neither are representative of the overall performance of Spanish regions because of their low population. Moreover, these are not taken into account in some examples in the literature on regional economics (De La Fuente, 2002)</w:t>
      </w:r>
      <w:r>
        <w:rPr>
          <w:sz w:val="20"/>
          <w:szCs w:val="20"/>
          <w:lang w:val="en-GB"/>
        </w:rPr>
        <w:t>.</w:t>
      </w:r>
    </w:p>
  </w:footnote>
  <w:footnote w:id="11">
    <w:p w:rsidR="001013CE" w:rsidRPr="00C54BCD" w:rsidRDefault="001013CE" w:rsidP="001013CE">
      <w:pPr>
        <w:pStyle w:val="Textonotapie"/>
        <w:jc w:val="both"/>
        <w:rPr>
          <w:sz w:val="20"/>
          <w:szCs w:val="20"/>
          <w:lang w:val="en-US"/>
        </w:rPr>
      </w:pPr>
      <w:r w:rsidRPr="008575D6">
        <w:rPr>
          <w:rStyle w:val="Refdenotaalpie"/>
          <w:sz w:val="20"/>
          <w:szCs w:val="20"/>
        </w:rPr>
        <w:footnoteRef/>
      </w:r>
      <w:r w:rsidRPr="00C54BCD">
        <w:rPr>
          <w:sz w:val="20"/>
          <w:szCs w:val="20"/>
          <w:lang w:val="en-US"/>
        </w:rPr>
        <w:t xml:space="preserve"> </w:t>
      </w:r>
      <w:r w:rsidRPr="00E2348F">
        <w:rPr>
          <w:sz w:val="20"/>
          <w:szCs w:val="20"/>
          <w:lang w:val="en-GB"/>
        </w:rPr>
        <w:t xml:space="preserve">Since much of the effect of spillovers takes place across de border (section 6), and these regions are located relatively far away, their spatial influence might be negligible and not alter the reliability of the estimates. The calculated centroid of </w:t>
      </w:r>
      <w:r>
        <w:rPr>
          <w:sz w:val="20"/>
          <w:szCs w:val="20"/>
          <w:lang w:val="en-GB"/>
        </w:rPr>
        <w:t>Balearic Islands</w:t>
      </w:r>
      <w:r w:rsidRPr="00E2348F">
        <w:rPr>
          <w:sz w:val="20"/>
          <w:szCs w:val="20"/>
          <w:lang w:val="en-GB"/>
        </w:rPr>
        <w:t xml:space="preserve"> is located at 244 km from Tarragona, its closest region. Distances larger than 1000 km separate the Canary Islands.</w:t>
      </w:r>
    </w:p>
  </w:footnote>
  <w:footnote w:id="12">
    <w:p w:rsidR="001013CE" w:rsidRPr="007104B5" w:rsidRDefault="001013CE" w:rsidP="001013CE">
      <w:pPr>
        <w:pStyle w:val="Textonotapie"/>
        <w:jc w:val="both"/>
        <w:rPr>
          <w:sz w:val="20"/>
          <w:szCs w:val="20"/>
          <w:lang w:val="en-GB"/>
        </w:rPr>
      </w:pPr>
      <w:r w:rsidRPr="005B4A70">
        <w:rPr>
          <w:rStyle w:val="Refdenotaalpie"/>
          <w:sz w:val="20"/>
          <w:szCs w:val="20"/>
        </w:rPr>
        <w:footnoteRef/>
      </w:r>
      <w:r w:rsidRPr="007104B5">
        <w:rPr>
          <w:sz w:val="20"/>
          <w:szCs w:val="20"/>
          <w:lang w:val="en-GB"/>
        </w:rPr>
        <w:t xml:space="preserve"> The analysis of the determinants in section 6 departs from a cross-section of the year 2007. Due to the low variability observed in the regional TFP level, the choice of the year has </w:t>
      </w:r>
      <w:r>
        <w:rPr>
          <w:sz w:val="20"/>
          <w:szCs w:val="20"/>
          <w:lang w:val="en-GB"/>
        </w:rPr>
        <w:t>no</w:t>
      </w:r>
      <w:r w:rsidRPr="007104B5">
        <w:rPr>
          <w:sz w:val="20"/>
          <w:szCs w:val="20"/>
          <w:lang w:val="en-GB"/>
        </w:rPr>
        <w:t xml:space="preserve"> implications for the analysis. </w:t>
      </w:r>
    </w:p>
  </w:footnote>
  <w:footnote w:id="13">
    <w:p w:rsidR="001013CE" w:rsidRPr="007104B5" w:rsidRDefault="001013CE" w:rsidP="001013CE">
      <w:pPr>
        <w:pStyle w:val="Textonotapie"/>
        <w:jc w:val="both"/>
        <w:rPr>
          <w:sz w:val="20"/>
          <w:szCs w:val="20"/>
          <w:lang w:val="en-GB"/>
        </w:rPr>
      </w:pPr>
      <w:r w:rsidRPr="00995FC4">
        <w:rPr>
          <w:rStyle w:val="Refdenotaalpie"/>
          <w:sz w:val="20"/>
          <w:szCs w:val="20"/>
        </w:rPr>
        <w:footnoteRef/>
      </w:r>
      <w:r w:rsidRPr="005B4A70">
        <w:rPr>
          <w:sz w:val="20"/>
          <w:szCs w:val="20"/>
          <w:vertAlign w:val="superscript"/>
          <w:lang w:val="en-GB"/>
        </w:rPr>
        <w:t xml:space="preserve"> </w:t>
      </w:r>
      <w:r w:rsidRPr="007104B5">
        <w:rPr>
          <w:sz w:val="20"/>
          <w:szCs w:val="20"/>
          <w:lang w:val="en-GB"/>
        </w:rPr>
        <w:t xml:space="preserve">In the case of the 17 AACC, the colours in the map reflect the quartile distribution. For </w:t>
      </w:r>
      <w:r>
        <w:rPr>
          <w:sz w:val="20"/>
          <w:szCs w:val="20"/>
          <w:lang w:val="en-GB"/>
        </w:rPr>
        <w:t>t</w:t>
      </w:r>
      <w:r w:rsidRPr="007104B5">
        <w:rPr>
          <w:sz w:val="20"/>
          <w:szCs w:val="20"/>
          <w:lang w:val="en-GB"/>
        </w:rPr>
        <w:t>he 50 Provinces, the variables are mapped accordingly to its quintile distribution.</w:t>
      </w:r>
    </w:p>
  </w:footnote>
  <w:footnote w:id="14">
    <w:p w:rsidR="001013CE" w:rsidRPr="006E33A5" w:rsidRDefault="001013CE" w:rsidP="001013CE">
      <w:pPr>
        <w:pStyle w:val="Textonotapie"/>
        <w:jc w:val="both"/>
        <w:rPr>
          <w:sz w:val="20"/>
          <w:szCs w:val="20"/>
          <w:lang w:val="en-GB"/>
        </w:rPr>
      </w:pPr>
      <w:r w:rsidRPr="00995FC4">
        <w:rPr>
          <w:rStyle w:val="Refdenotaalpie"/>
          <w:sz w:val="20"/>
          <w:szCs w:val="20"/>
        </w:rPr>
        <w:footnoteRef/>
      </w:r>
      <w:r w:rsidRPr="007104B5">
        <w:rPr>
          <w:sz w:val="20"/>
          <w:szCs w:val="20"/>
          <w:lang w:val="en-GB"/>
        </w:rPr>
        <w:t xml:space="preserve"> The source of the population series is the Spanish statistics office (INE).</w:t>
      </w:r>
    </w:p>
  </w:footnote>
  <w:footnote w:id="15">
    <w:p w:rsidR="001013CE" w:rsidRPr="001313FB" w:rsidRDefault="001013CE" w:rsidP="001013CE">
      <w:pPr>
        <w:jc w:val="both"/>
        <w:rPr>
          <w:sz w:val="20"/>
          <w:szCs w:val="20"/>
          <w:lang w:val="en-US"/>
        </w:rPr>
      </w:pPr>
      <w:r w:rsidRPr="001313FB">
        <w:rPr>
          <w:rStyle w:val="Refdenotaalpie"/>
          <w:sz w:val="20"/>
          <w:szCs w:val="20"/>
        </w:rPr>
        <w:footnoteRef/>
      </w:r>
      <w:r w:rsidRPr="001313FB">
        <w:rPr>
          <w:sz w:val="20"/>
          <w:szCs w:val="20"/>
          <w:lang w:val="en-US"/>
        </w:rPr>
        <w:t xml:space="preserve"> Area consisting of Cantabria, East part of Castile and León, La Rioja, Basque Country, Navarre, Aragon and Catalonia.</w:t>
      </w:r>
    </w:p>
  </w:footnote>
  <w:footnote w:id="16">
    <w:p w:rsidR="001013CE" w:rsidRPr="006E33A5" w:rsidRDefault="001013CE" w:rsidP="001013CE">
      <w:pPr>
        <w:pStyle w:val="Textonotapie"/>
        <w:jc w:val="both"/>
        <w:rPr>
          <w:sz w:val="20"/>
          <w:szCs w:val="20"/>
          <w:lang w:val="en-GB"/>
        </w:rPr>
      </w:pPr>
      <w:r w:rsidRPr="006E33A5">
        <w:rPr>
          <w:rStyle w:val="Refdenotaalpie"/>
          <w:sz w:val="20"/>
          <w:szCs w:val="20"/>
        </w:rPr>
        <w:footnoteRef/>
      </w:r>
      <w:r w:rsidRPr="006E33A5">
        <w:rPr>
          <w:sz w:val="20"/>
          <w:szCs w:val="20"/>
          <w:lang w:val="en-GB"/>
        </w:rPr>
        <w:t xml:space="preserve"> </w:t>
      </w:r>
      <w:r w:rsidRPr="0004298D">
        <w:rPr>
          <w:sz w:val="20"/>
          <w:szCs w:val="20"/>
          <w:lang w:val="en-GB"/>
        </w:rPr>
        <w:t>Specifically,</w:t>
      </w:r>
      <w:r w:rsidRPr="006E33A5">
        <w:rPr>
          <w:sz w:val="20"/>
          <w:szCs w:val="20"/>
          <w:lang w:val="en-GB"/>
        </w:rPr>
        <w:t xml:space="preserve"> in the AACC of Andalusia, South of Castile-La Mancha and Extremadura</w:t>
      </w:r>
    </w:p>
  </w:footnote>
  <w:footnote w:id="17">
    <w:p w:rsidR="001013CE" w:rsidRPr="00950520" w:rsidRDefault="001013CE" w:rsidP="001013CE">
      <w:pPr>
        <w:pStyle w:val="Textonotapie"/>
        <w:jc w:val="both"/>
        <w:rPr>
          <w:sz w:val="20"/>
          <w:szCs w:val="20"/>
          <w:lang w:val="en-GB"/>
        </w:rPr>
      </w:pPr>
      <w:r w:rsidRPr="00FA210A">
        <w:rPr>
          <w:rStyle w:val="Refdenotaalpie"/>
          <w:sz w:val="20"/>
          <w:szCs w:val="20"/>
        </w:rPr>
        <w:footnoteRef/>
      </w:r>
      <w:r w:rsidRPr="00950520">
        <w:rPr>
          <w:sz w:val="20"/>
          <w:szCs w:val="20"/>
          <w:lang w:val="en-GB"/>
        </w:rPr>
        <w:t xml:space="preserve"> See Dettori et al. (2010)</w:t>
      </w:r>
      <w:r>
        <w:rPr>
          <w:sz w:val="20"/>
          <w:szCs w:val="20"/>
          <w:lang w:val="en-GB"/>
        </w:rPr>
        <w:t>, among others.</w:t>
      </w:r>
    </w:p>
  </w:footnote>
  <w:footnote w:id="18">
    <w:p w:rsidR="001013CE" w:rsidRPr="00715768" w:rsidRDefault="001013CE" w:rsidP="001013CE">
      <w:pPr>
        <w:pStyle w:val="Textonotapie"/>
        <w:jc w:val="both"/>
        <w:rPr>
          <w:lang w:val="en-GB"/>
        </w:rPr>
      </w:pPr>
      <w:r w:rsidRPr="00BD6CFC">
        <w:rPr>
          <w:rStyle w:val="Refdenotaalpie"/>
          <w:sz w:val="20"/>
          <w:szCs w:val="20"/>
        </w:rPr>
        <w:footnoteRef/>
      </w:r>
      <w:r w:rsidRPr="00A54E7B">
        <w:rPr>
          <w:sz w:val="20"/>
          <w:szCs w:val="20"/>
          <w:vertAlign w:val="superscript"/>
          <w:lang w:val="en-GB"/>
        </w:rPr>
        <w:t xml:space="preserve">  </w:t>
      </w:r>
      <w:r w:rsidRPr="00715768">
        <w:rPr>
          <w:sz w:val="20"/>
          <w:szCs w:val="20"/>
          <w:lang w:val="en-GB"/>
        </w:rPr>
        <w:t>The sample is too small to implement Spatial Lag model</w:t>
      </w:r>
      <w:r>
        <w:rPr>
          <w:sz w:val="20"/>
          <w:szCs w:val="20"/>
          <w:lang w:val="en-GB"/>
        </w:rPr>
        <w:t>s</w:t>
      </w:r>
      <w:r w:rsidRPr="00715768">
        <w:rPr>
          <w:sz w:val="20"/>
          <w:szCs w:val="20"/>
          <w:lang w:val="en-GB"/>
        </w:rPr>
        <w:t xml:space="preserve"> </w:t>
      </w:r>
      <w:r>
        <w:rPr>
          <w:sz w:val="20"/>
          <w:szCs w:val="20"/>
          <w:lang w:val="en-GB"/>
        </w:rPr>
        <w:t>to the analysis of the determinants of TFP</w:t>
      </w:r>
      <w:r w:rsidRPr="00715768">
        <w:rPr>
          <w:sz w:val="20"/>
          <w:szCs w:val="20"/>
          <w:lang w:val="en-GB"/>
        </w:rPr>
        <w:t>. Similar works, within the cross-section context, account for almost 200 regions (EU). See Det</w:t>
      </w:r>
      <w:r>
        <w:rPr>
          <w:sz w:val="20"/>
          <w:szCs w:val="20"/>
          <w:lang w:val="en-GB"/>
        </w:rPr>
        <w:t>t</w:t>
      </w:r>
      <w:r w:rsidRPr="00715768">
        <w:rPr>
          <w:sz w:val="20"/>
          <w:szCs w:val="20"/>
          <w:lang w:val="en-GB"/>
        </w:rPr>
        <w:t>ori et al., (2010)</w:t>
      </w:r>
      <w:r>
        <w:rPr>
          <w:sz w:val="20"/>
          <w:szCs w:val="20"/>
          <w:lang w:val="en-GB"/>
        </w:rPr>
        <w:t>.</w:t>
      </w:r>
    </w:p>
  </w:footnote>
  <w:footnote w:id="19">
    <w:p w:rsidR="001013CE" w:rsidRPr="002133B2" w:rsidRDefault="001013CE" w:rsidP="001013CE">
      <w:pPr>
        <w:pStyle w:val="Textonotapie"/>
        <w:jc w:val="both"/>
        <w:rPr>
          <w:sz w:val="20"/>
          <w:szCs w:val="20"/>
          <w:lang w:val="en-GB"/>
        </w:rPr>
      </w:pPr>
      <w:r w:rsidRPr="00BD6CFC">
        <w:rPr>
          <w:rStyle w:val="Refdenotaalpie"/>
          <w:sz w:val="20"/>
          <w:szCs w:val="20"/>
        </w:rPr>
        <w:footnoteRef/>
      </w:r>
      <w:r w:rsidRPr="00A54E7B">
        <w:rPr>
          <w:sz w:val="20"/>
          <w:szCs w:val="20"/>
          <w:vertAlign w:val="superscript"/>
          <w:lang w:val="en-GB"/>
        </w:rPr>
        <w:t xml:space="preserve"> </w:t>
      </w:r>
      <w:r w:rsidRPr="002133B2">
        <w:rPr>
          <w:sz w:val="20"/>
          <w:szCs w:val="20"/>
          <w:lang w:val="en-GB"/>
        </w:rPr>
        <w:t>The spatial lags of knowledge capital and public capital are jointly significant at 1% level. The Moran I test in Table 4 indicates that human capital is the only variable that is not spatially correlated.</w:t>
      </w:r>
    </w:p>
  </w:footnote>
  <w:footnote w:id="20">
    <w:p w:rsidR="001013CE" w:rsidRPr="00267CEF" w:rsidRDefault="001013CE" w:rsidP="001013CE">
      <w:pPr>
        <w:pStyle w:val="Textonotapie"/>
        <w:jc w:val="both"/>
        <w:rPr>
          <w:sz w:val="20"/>
          <w:szCs w:val="20"/>
          <w:lang w:val="en-GB"/>
        </w:rPr>
      </w:pPr>
      <w:r w:rsidRPr="00267CEF">
        <w:rPr>
          <w:rStyle w:val="Refdenotaalpie"/>
          <w:sz w:val="20"/>
          <w:szCs w:val="20"/>
        </w:rPr>
        <w:footnoteRef/>
      </w:r>
      <w:r w:rsidRPr="00267CEF">
        <w:rPr>
          <w:sz w:val="20"/>
          <w:szCs w:val="20"/>
          <w:lang w:val="en-GB"/>
        </w:rPr>
        <w:t xml:space="preserve"> </w:t>
      </w:r>
      <w:r>
        <w:rPr>
          <w:sz w:val="20"/>
          <w:szCs w:val="20"/>
          <w:lang w:val="en-GB"/>
        </w:rPr>
        <w:t>D</w:t>
      </w:r>
      <w:r w:rsidRPr="00267CEF">
        <w:rPr>
          <w:sz w:val="20"/>
          <w:szCs w:val="20"/>
          <w:lang w:val="en-GB"/>
        </w:rPr>
        <w:t xml:space="preserve">ifferent proxies for public capital were tried, such </w:t>
      </w:r>
      <w:r>
        <w:rPr>
          <w:sz w:val="20"/>
          <w:szCs w:val="20"/>
          <w:lang w:val="en-GB"/>
        </w:rPr>
        <w:t>as the variable in</w:t>
      </w:r>
      <w:r w:rsidRPr="00267CEF">
        <w:rPr>
          <w:sz w:val="20"/>
          <w:szCs w:val="20"/>
          <w:lang w:val="en-GB"/>
        </w:rPr>
        <w:t xml:space="preserve"> per worker/capita</w:t>
      </w:r>
      <w:r>
        <w:rPr>
          <w:sz w:val="20"/>
          <w:szCs w:val="20"/>
          <w:lang w:val="en-GB"/>
        </w:rPr>
        <w:t xml:space="preserve"> terms</w:t>
      </w:r>
      <w:r w:rsidRPr="00267CEF">
        <w:rPr>
          <w:sz w:val="20"/>
          <w:szCs w:val="20"/>
          <w:lang w:val="en-GB"/>
        </w:rPr>
        <w:t>, achieving similar results.</w:t>
      </w:r>
      <w:r>
        <w:rPr>
          <w:sz w:val="20"/>
          <w:szCs w:val="20"/>
          <w:lang w:val="en-GB"/>
        </w:rPr>
        <w:t xml:space="preserve"> </w:t>
      </w:r>
    </w:p>
  </w:footnote>
  <w:footnote w:id="21">
    <w:p w:rsidR="001013CE" w:rsidRPr="00267CEF" w:rsidRDefault="001013CE" w:rsidP="001013CE">
      <w:pPr>
        <w:pStyle w:val="Textonotapie"/>
        <w:jc w:val="both"/>
        <w:rPr>
          <w:sz w:val="20"/>
          <w:szCs w:val="20"/>
          <w:lang w:val="en-GB"/>
        </w:rPr>
      </w:pPr>
      <w:r w:rsidRPr="00267CEF">
        <w:rPr>
          <w:rStyle w:val="Refdenotaalpie"/>
          <w:sz w:val="20"/>
          <w:szCs w:val="20"/>
        </w:rPr>
        <w:footnoteRef/>
      </w:r>
      <w:r w:rsidRPr="00267CEF">
        <w:rPr>
          <w:sz w:val="20"/>
          <w:szCs w:val="20"/>
          <w:lang w:val="en-GB"/>
        </w:rPr>
        <w:t xml:space="preserve"> This approach is adopted from Dettori et al., (2012) </w:t>
      </w:r>
    </w:p>
  </w:footnote>
  <w:footnote w:id="22">
    <w:p w:rsidR="001013CE" w:rsidRPr="00DC1B82" w:rsidRDefault="001013CE" w:rsidP="001013CE">
      <w:pPr>
        <w:pStyle w:val="Textonotapie"/>
        <w:jc w:val="both"/>
        <w:rPr>
          <w:sz w:val="20"/>
          <w:szCs w:val="20"/>
          <w:lang w:val="en-GB"/>
        </w:rPr>
      </w:pPr>
      <w:r w:rsidRPr="00DC1B82">
        <w:rPr>
          <w:rStyle w:val="Refdenotaalpie"/>
          <w:sz w:val="20"/>
          <w:szCs w:val="20"/>
        </w:rPr>
        <w:footnoteRef/>
      </w:r>
      <w:r w:rsidRPr="00DC1B82">
        <w:rPr>
          <w:sz w:val="20"/>
          <w:szCs w:val="20"/>
          <w:lang w:val="en-GB"/>
        </w:rPr>
        <w:t xml:space="preserve"> Pesaran (2007) indicates that this test has appropriate power even when N=T=10</w:t>
      </w:r>
      <w:r>
        <w:rPr>
          <w:sz w:val="20"/>
          <w:szCs w:val="20"/>
          <w:lang w:val="en-GB"/>
        </w:rPr>
        <w:t>.</w:t>
      </w:r>
    </w:p>
  </w:footnote>
  <w:footnote w:id="23">
    <w:p w:rsidR="001013CE" w:rsidRPr="00DC1B82" w:rsidRDefault="001013CE" w:rsidP="001013CE">
      <w:pPr>
        <w:pStyle w:val="Textonotapie"/>
        <w:rPr>
          <w:sz w:val="20"/>
          <w:szCs w:val="20"/>
          <w:lang w:val="en-GB"/>
        </w:rPr>
      </w:pPr>
      <w:r w:rsidRPr="00DC1B82">
        <w:rPr>
          <w:rStyle w:val="Refdenotaalpie"/>
          <w:sz w:val="20"/>
          <w:szCs w:val="20"/>
        </w:rPr>
        <w:footnoteRef/>
      </w:r>
      <w:r w:rsidRPr="00DC1B82">
        <w:rPr>
          <w:sz w:val="20"/>
          <w:szCs w:val="20"/>
          <w:lang w:val="en-GB"/>
        </w:rPr>
        <w:t xml:space="preserve"> The number of lags is selected accordingly to the Bayesian Information Criteria.</w:t>
      </w:r>
    </w:p>
  </w:footnote>
  <w:footnote w:id="24">
    <w:p w:rsidR="001013CE" w:rsidRPr="00DC1B82" w:rsidRDefault="001013CE" w:rsidP="001013CE">
      <w:pPr>
        <w:pStyle w:val="Textonotapie"/>
        <w:jc w:val="both"/>
        <w:rPr>
          <w:sz w:val="20"/>
          <w:szCs w:val="20"/>
          <w:lang w:val="en-GB"/>
        </w:rPr>
      </w:pPr>
      <w:r w:rsidRPr="00DC1B82">
        <w:rPr>
          <w:rStyle w:val="Refdenotaalpie"/>
          <w:sz w:val="20"/>
          <w:szCs w:val="20"/>
        </w:rPr>
        <w:footnoteRef/>
      </w:r>
      <w:r w:rsidRPr="00DC1B82">
        <w:rPr>
          <w:sz w:val="20"/>
          <w:szCs w:val="20"/>
          <w:lang w:val="en-GB"/>
        </w:rPr>
        <w:t xml:space="preserve"> Different specifications including only an intercept, or adding a linear trend are tested for robustness.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C47" w:rsidRDefault="001013CE">
    <w:pPr>
      <w:pStyle w:val="Encabezado"/>
    </w:pPr>
    <w:r w:rsidRPr="00142CE5">
      <w:rPr>
        <w:noProof/>
      </w:rPr>
      <w:drawing>
        <wp:inline distT="0" distB="0" distL="0" distR="0">
          <wp:extent cx="5410200" cy="1074420"/>
          <wp:effectExtent l="0" t="0" r="0" b="0"/>
          <wp:docPr id="1" name="Imagen 2" descr="Descripción: en_web_86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n_web_860-1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0200" cy="107442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5019" w:rsidRPr="00075019" w:rsidRDefault="00075019" w:rsidP="000750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5E50AC"/>
    <w:multiLevelType w:val="multilevel"/>
    <w:tmpl w:val="F0C0ADB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09B"/>
    <w:rsid w:val="00000755"/>
    <w:rsid w:val="0002614E"/>
    <w:rsid w:val="000302B0"/>
    <w:rsid w:val="000333A5"/>
    <w:rsid w:val="00041D88"/>
    <w:rsid w:val="00063FD7"/>
    <w:rsid w:val="00075019"/>
    <w:rsid w:val="000A0483"/>
    <w:rsid w:val="000A6D6D"/>
    <w:rsid w:val="000B70BF"/>
    <w:rsid w:val="000C0D04"/>
    <w:rsid w:val="000C7339"/>
    <w:rsid w:val="000D4D87"/>
    <w:rsid w:val="000D642B"/>
    <w:rsid w:val="000D7E6A"/>
    <w:rsid w:val="000F68A8"/>
    <w:rsid w:val="001013CE"/>
    <w:rsid w:val="00101ECC"/>
    <w:rsid w:val="001046CB"/>
    <w:rsid w:val="00111546"/>
    <w:rsid w:val="001125BD"/>
    <w:rsid w:val="0011458D"/>
    <w:rsid w:val="00115B30"/>
    <w:rsid w:val="001366D4"/>
    <w:rsid w:val="00141D25"/>
    <w:rsid w:val="00152084"/>
    <w:rsid w:val="00156C3F"/>
    <w:rsid w:val="00157D09"/>
    <w:rsid w:val="001649BB"/>
    <w:rsid w:val="00187D0A"/>
    <w:rsid w:val="0019254C"/>
    <w:rsid w:val="00196950"/>
    <w:rsid w:val="001B6129"/>
    <w:rsid w:val="001C4E52"/>
    <w:rsid w:val="001D01A2"/>
    <w:rsid w:val="00201D7E"/>
    <w:rsid w:val="00210E6B"/>
    <w:rsid w:val="0022011E"/>
    <w:rsid w:val="002212CC"/>
    <w:rsid w:val="00223998"/>
    <w:rsid w:val="00235D51"/>
    <w:rsid w:val="00255811"/>
    <w:rsid w:val="002604CC"/>
    <w:rsid w:val="00261715"/>
    <w:rsid w:val="00265158"/>
    <w:rsid w:val="002704E7"/>
    <w:rsid w:val="00271112"/>
    <w:rsid w:val="002A6880"/>
    <w:rsid w:val="002D2AEF"/>
    <w:rsid w:val="002E47B1"/>
    <w:rsid w:val="002F4455"/>
    <w:rsid w:val="002F6CBA"/>
    <w:rsid w:val="003109B5"/>
    <w:rsid w:val="00327453"/>
    <w:rsid w:val="003333DE"/>
    <w:rsid w:val="00352E51"/>
    <w:rsid w:val="00355FA4"/>
    <w:rsid w:val="00357B4E"/>
    <w:rsid w:val="00376DCE"/>
    <w:rsid w:val="00381F8F"/>
    <w:rsid w:val="00384B14"/>
    <w:rsid w:val="00387CED"/>
    <w:rsid w:val="003B1E9E"/>
    <w:rsid w:val="003B41CA"/>
    <w:rsid w:val="003B7B1A"/>
    <w:rsid w:val="003C023E"/>
    <w:rsid w:val="003C11AD"/>
    <w:rsid w:val="003C2053"/>
    <w:rsid w:val="003C32EE"/>
    <w:rsid w:val="003C6DC9"/>
    <w:rsid w:val="003E74EE"/>
    <w:rsid w:val="004013DD"/>
    <w:rsid w:val="0040683C"/>
    <w:rsid w:val="00414FAA"/>
    <w:rsid w:val="00415B11"/>
    <w:rsid w:val="00426936"/>
    <w:rsid w:val="004275A6"/>
    <w:rsid w:val="00427EC1"/>
    <w:rsid w:val="00430B92"/>
    <w:rsid w:val="00434DD7"/>
    <w:rsid w:val="004462AE"/>
    <w:rsid w:val="00446AB2"/>
    <w:rsid w:val="00454A91"/>
    <w:rsid w:val="004550AE"/>
    <w:rsid w:val="00466372"/>
    <w:rsid w:val="0046639A"/>
    <w:rsid w:val="004710A2"/>
    <w:rsid w:val="00480ED0"/>
    <w:rsid w:val="0049617F"/>
    <w:rsid w:val="00497DC5"/>
    <w:rsid w:val="004A03C2"/>
    <w:rsid w:val="004A04B1"/>
    <w:rsid w:val="004B4D0B"/>
    <w:rsid w:val="004C0672"/>
    <w:rsid w:val="004C20B7"/>
    <w:rsid w:val="004C22B4"/>
    <w:rsid w:val="004C6B75"/>
    <w:rsid w:val="004C7AA0"/>
    <w:rsid w:val="004E75B0"/>
    <w:rsid w:val="004E776E"/>
    <w:rsid w:val="004F44E3"/>
    <w:rsid w:val="00506029"/>
    <w:rsid w:val="00513D90"/>
    <w:rsid w:val="00517305"/>
    <w:rsid w:val="00521CCF"/>
    <w:rsid w:val="0053523A"/>
    <w:rsid w:val="00535AF0"/>
    <w:rsid w:val="005360B8"/>
    <w:rsid w:val="0053621C"/>
    <w:rsid w:val="0055294C"/>
    <w:rsid w:val="00557987"/>
    <w:rsid w:val="00570FCA"/>
    <w:rsid w:val="00590B0A"/>
    <w:rsid w:val="00591DA7"/>
    <w:rsid w:val="005940EC"/>
    <w:rsid w:val="005A43E4"/>
    <w:rsid w:val="005B003A"/>
    <w:rsid w:val="005B33ED"/>
    <w:rsid w:val="005B39A7"/>
    <w:rsid w:val="005B3CE3"/>
    <w:rsid w:val="005B69F2"/>
    <w:rsid w:val="005D594B"/>
    <w:rsid w:val="005E3521"/>
    <w:rsid w:val="005E3538"/>
    <w:rsid w:val="005F40B8"/>
    <w:rsid w:val="00611876"/>
    <w:rsid w:val="00624D1F"/>
    <w:rsid w:val="006628D2"/>
    <w:rsid w:val="006828F6"/>
    <w:rsid w:val="00685168"/>
    <w:rsid w:val="006860AA"/>
    <w:rsid w:val="006A10A1"/>
    <w:rsid w:val="006A6E3A"/>
    <w:rsid w:val="006B2424"/>
    <w:rsid w:val="006B3128"/>
    <w:rsid w:val="006C4DD3"/>
    <w:rsid w:val="006C4F5C"/>
    <w:rsid w:val="006C6CFC"/>
    <w:rsid w:val="006D11C6"/>
    <w:rsid w:val="006E0099"/>
    <w:rsid w:val="006E34FC"/>
    <w:rsid w:val="006E3B5F"/>
    <w:rsid w:val="006E54DE"/>
    <w:rsid w:val="006F623F"/>
    <w:rsid w:val="007025D8"/>
    <w:rsid w:val="00710211"/>
    <w:rsid w:val="00714351"/>
    <w:rsid w:val="007232C9"/>
    <w:rsid w:val="007235D2"/>
    <w:rsid w:val="00727E6C"/>
    <w:rsid w:val="00733B5F"/>
    <w:rsid w:val="007424A3"/>
    <w:rsid w:val="007434C0"/>
    <w:rsid w:val="007438FD"/>
    <w:rsid w:val="0076130D"/>
    <w:rsid w:val="007876E4"/>
    <w:rsid w:val="00787F68"/>
    <w:rsid w:val="00790362"/>
    <w:rsid w:val="00795CEF"/>
    <w:rsid w:val="007A07D2"/>
    <w:rsid w:val="007A3CDA"/>
    <w:rsid w:val="007A7019"/>
    <w:rsid w:val="007B505C"/>
    <w:rsid w:val="007C0D14"/>
    <w:rsid w:val="007C1C19"/>
    <w:rsid w:val="007C3F9B"/>
    <w:rsid w:val="007C3FB5"/>
    <w:rsid w:val="007C417A"/>
    <w:rsid w:val="007D4EF6"/>
    <w:rsid w:val="007D6BDB"/>
    <w:rsid w:val="007D76CE"/>
    <w:rsid w:val="007D7940"/>
    <w:rsid w:val="007E5BA4"/>
    <w:rsid w:val="007F52FE"/>
    <w:rsid w:val="008065FC"/>
    <w:rsid w:val="0081031D"/>
    <w:rsid w:val="00835EA6"/>
    <w:rsid w:val="008477A1"/>
    <w:rsid w:val="008545C0"/>
    <w:rsid w:val="00855D75"/>
    <w:rsid w:val="00870484"/>
    <w:rsid w:val="008821C7"/>
    <w:rsid w:val="00890325"/>
    <w:rsid w:val="00893C47"/>
    <w:rsid w:val="008A5190"/>
    <w:rsid w:val="008B5777"/>
    <w:rsid w:val="008C5E67"/>
    <w:rsid w:val="008C7CE1"/>
    <w:rsid w:val="008D6B65"/>
    <w:rsid w:val="008D7D47"/>
    <w:rsid w:val="008E057F"/>
    <w:rsid w:val="008E3F3C"/>
    <w:rsid w:val="008E7254"/>
    <w:rsid w:val="008F40D0"/>
    <w:rsid w:val="0091646E"/>
    <w:rsid w:val="00924F66"/>
    <w:rsid w:val="009267D3"/>
    <w:rsid w:val="00930221"/>
    <w:rsid w:val="00941E72"/>
    <w:rsid w:val="009436C2"/>
    <w:rsid w:val="009505E6"/>
    <w:rsid w:val="009545EC"/>
    <w:rsid w:val="00975AD4"/>
    <w:rsid w:val="00977A55"/>
    <w:rsid w:val="00984322"/>
    <w:rsid w:val="00991C6E"/>
    <w:rsid w:val="009950C7"/>
    <w:rsid w:val="009A6159"/>
    <w:rsid w:val="009B7500"/>
    <w:rsid w:val="009C2822"/>
    <w:rsid w:val="009C47B7"/>
    <w:rsid w:val="009C6BD9"/>
    <w:rsid w:val="009D1E5C"/>
    <w:rsid w:val="00A2135C"/>
    <w:rsid w:val="00A2210E"/>
    <w:rsid w:val="00A42475"/>
    <w:rsid w:val="00A45E09"/>
    <w:rsid w:val="00A56C31"/>
    <w:rsid w:val="00A7323E"/>
    <w:rsid w:val="00A74CAE"/>
    <w:rsid w:val="00A7523F"/>
    <w:rsid w:val="00A7766E"/>
    <w:rsid w:val="00A80D0A"/>
    <w:rsid w:val="00A87823"/>
    <w:rsid w:val="00A915CF"/>
    <w:rsid w:val="00A9196A"/>
    <w:rsid w:val="00A91B9D"/>
    <w:rsid w:val="00A9409B"/>
    <w:rsid w:val="00A949E6"/>
    <w:rsid w:val="00AA4B9A"/>
    <w:rsid w:val="00AB08AC"/>
    <w:rsid w:val="00AB2565"/>
    <w:rsid w:val="00AB7002"/>
    <w:rsid w:val="00AB7192"/>
    <w:rsid w:val="00AD27BC"/>
    <w:rsid w:val="00AF590C"/>
    <w:rsid w:val="00B15998"/>
    <w:rsid w:val="00B175A6"/>
    <w:rsid w:val="00B35874"/>
    <w:rsid w:val="00B368A5"/>
    <w:rsid w:val="00B3695F"/>
    <w:rsid w:val="00B71AF6"/>
    <w:rsid w:val="00B73C51"/>
    <w:rsid w:val="00B86488"/>
    <w:rsid w:val="00B90E83"/>
    <w:rsid w:val="00B94694"/>
    <w:rsid w:val="00BA041F"/>
    <w:rsid w:val="00BA2255"/>
    <w:rsid w:val="00BA405C"/>
    <w:rsid w:val="00BB783F"/>
    <w:rsid w:val="00BC0147"/>
    <w:rsid w:val="00BC0E5F"/>
    <w:rsid w:val="00BF1146"/>
    <w:rsid w:val="00BF4FFF"/>
    <w:rsid w:val="00BF6C99"/>
    <w:rsid w:val="00C03A62"/>
    <w:rsid w:val="00C110BD"/>
    <w:rsid w:val="00C15A28"/>
    <w:rsid w:val="00C24FDD"/>
    <w:rsid w:val="00C34A7D"/>
    <w:rsid w:val="00C35295"/>
    <w:rsid w:val="00C36FEC"/>
    <w:rsid w:val="00C3731E"/>
    <w:rsid w:val="00C373AD"/>
    <w:rsid w:val="00C40EA2"/>
    <w:rsid w:val="00C713DA"/>
    <w:rsid w:val="00C75C26"/>
    <w:rsid w:val="00C92190"/>
    <w:rsid w:val="00C961E1"/>
    <w:rsid w:val="00CA111E"/>
    <w:rsid w:val="00CC5F6D"/>
    <w:rsid w:val="00CD0153"/>
    <w:rsid w:val="00CD0C7E"/>
    <w:rsid w:val="00CD5F62"/>
    <w:rsid w:val="00CD6D0F"/>
    <w:rsid w:val="00CE046E"/>
    <w:rsid w:val="00CE36F8"/>
    <w:rsid w:val="00CE6C89"/>
    <w:rsid w:val="00CF7E66"/>
    <w:rsid w:val="00D1272D"/>
    <w:rsid w:val="00D23795"/>
    <w:rsid w:val="00D3604A"/>
    <w:rsid w:val="00D42286"/>
    <w:rsid w:val="00D5089F"/>
    <w:rsid w:val="00D53D25"/>
    <w:rsid w:val="00D565B9"/>
    <w:rsid w:val="00D6157B"/>
    <w:rsid w:val="00D616D2"/>
    <w:rsid w:val="00D66F57"/>
    <w:rsid w:val="00D821A8"/>
    <w:rsid w:val="00D84CD9"/>
    <w:rsid w:val="00D93387"/>
    <w:rsid w:val="00DB21BB"/>
    <w:rsid w:val="00DB75D3"/>
    <w:rsid w:val="00DC773E"/>
    <w:rsid w:val="00DE25E6"/>
    <w:rsid w:val="00DE73C7"/>
    <w:rsid w:val="00DF4D9A"/>
    <w:rsid w:val="00E03B2C"/>
    <w:rsid w:val="00E047C5"/>
    <w:rsid w:val="00E0518C"/>
    <w:rsid w:val="00E1021F"/>
    <w:rsid w:val="00E13682"/>
    <w:rsid w:val="00E2437E"/>
    <w:rsid w:val="00E36318"/>
    <w:rsid w:val="00E6269C"/>
    <w:rsid w:val="00E64BDD"/>
    <w:rsid w:val="00E65BE0"/>
    <w:rsid w:val="00E7273B"/>
    <w:rsid w:val="00E73D56"/>
    <w:rsid w:val="00E82FBB"/>
    <w:rsid w:val="00E91900"/>
    <w:rsid w:val="00E93B66"/>
    <w:rsid w:val="00EA409A"/>
    <w:rsid w:val="00EC4456"/>
    <w:rsid w:val="00EC49E7"/>
    <w:rsid w:val="00EC637A"/>
    <w:rsid w:val="00EC6BD2"/>
    <w:rsid w:val="00ED1845"/>
    <w:rsid w:val="00EE1D8E"/>
    <w:rsid w:val="00EE7035"/>
    <w:rsid w:val="00F018CC"/>
    <w:rsid w:val="00F050F3"/>
    <w:rsid w:val="00F37ABF"/>
    <w:rsid w:val="00F444D3"/>
    <w:rsid w:val="00F5011D"/>
    <w:rsid w:val="00F5203B"/>
    <w:rsid w:val="00F526B0"/>
    <w:rsid w:val="00F61A51"/>
    <w:rsid w:val="00F6341E"/>
    <w:rsid w:val="00F7355A"/>
    <w:rsid w:val="00F84660"/>
    <w:rsid w:val="00F91927"/>
    <w:rsid w:val="00F954A4"/>
    <w:rsid w:val="00FA0CFC"/>
    <w:rsid w:val="00FA3725"/>
    <w:rsid w:val="00FA4BCF"/>
    <w:rsid w:val="00FA639F"/>
    <w:rsid w:val="00FC3505"/>
    <w:rsid w:val="00FC53A4"/>
    <w:rsid w:val="00FD22F2"/>
    <w:rsid w:val="00FD4DD9"/>
    <w:rsid w:val="00FD5826"/>
    <w:rsid w:val="00FE1D7E"/>
    <w:rsid w:val="00FE4DB1"/>
    <w:rsid w:val="00FF40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8D0BA9"/>
  <w15:chartTrackingRefBased/>
  <w15:docId w15:val="{4270D72D-00D9-430A-ACA5-3E9158906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annotation subjec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09B"/>
    <w:rPr>
      <w:sz w:val="24"/>
      <w:szCs w:val="24"/>
    </w:rPr>
  </w:style>
  <w:style w:type="paragraph" w:styleId="Ttulo1">
    <w:name w:val="heading 1"/>
    <w:basedOn w:val="Normal"/>
    <w:next w:val="Normal"/>
    <w:link w:val="Ttulo1Car"/>
    <w:uiPriority w:val="9"/>
    <w:qFormat/>
    <w:rsid w:val="001013CE"/>
    <w:pPr>
      <w:keepNext/>
      <w:keepLines/>
      <w:spacing w:before="240" w:after="120"/>
      <w:outlineLvl w:val="0"/>
    </w:pPr>
    <w:rPr>
      <w:rFonts w:eastAsia="Yu Gothic Light"/>
      <w:b/>
      <w:color w:val="000000"/>
      <w:szCs w:val="32"/>
      <w:lang w:val="en-GB" w:eastAsia="en-US"/>
    </w:rPr>
  </w:style>
  <w:style w:type="paragraph" w:styleId="Ttulo2">
    <w:name w:val="heading 2"/>
    <w:basedOn w:val="Normal"/>
    <w:next w:val="Normal"/>
    <w:link w:val="Ttulo2Car"/>
    <w:uiPriority w:val="9"/>
    <w:unhideWhenUsed/>
    <w:qFormat/>
    <w:rsid w:val="001013CE"/>
    <w:pPr>
      <w:keepNext/>
      <w:keepLines/>
      <w:spacing w:before="40"/>
      <w:jc w:val="both"/>
      <w:outlineLvl w:val="1"/>
    </w:pPr>
    <w:rPr>
      <w:rFonts w:eastAsia="Yu Gothic Light"/>
      <w:b/>
      <w:color w:val="000000"/>
      <w:szCs w:val="26"/>
      <w:lang w:val="en-GB"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NormalWeb">
    <w:name w:val="Normal (Web)"/>
    <w:basedOn w:val="Normal"/>
    <w:uiPriority w:val="99"/>
    <w:rsid w:val="003333DE"/>
    <w:pPr>
      <w:spacing w:before="100" w:beforeAutospacing="1" w:after="100" w:afterAutospacing="1"/>
    </w:pPr>
  </w:style>
  <w:style w:type="paragraph" w:styleId="Encabezado">
    <w:name w:val="header"/>
    <w:basedOn w:val="Normal"/>
    <w:link w:val="EncabezadoCar"/>
    <w:uiPriority w:val="99"/>
    <w:rsid w:val="00893C47"/>
    <w:pPr>
      <w:tabs>
        <w:tab w:val="center" w:pos="4419"/>
        <w:tab w:val="right" w:pos="8838"/>
      </w:tabs>
    </w:pPr>
  </w:style>
  <w:style w:type="character" w:customStyle="1" w:styleId="EncabezadoCar">
    <w:name w:val="Encabezado Car"/>
    <w:link w:val="Encabezado"/>
    <w:uiPriority w:val="99"/>
    <w:rsid w:val="00893C47"/>
    <w:rPr>
      <w:sz w:val="24"/>
      <w:szCs w:val="24"/>
      <w:lang w:val="es-ES" w:eastAsia="es-ES"/>
    </w:rPr>
  </w:style>
  <w:style w:type="paragraph" w:styleId="Piedepgina">
    <w:name w:val="footer"/>
    <w:basedOn w:val="Normal"/>
    <w:link w:val="PiedepginaCar"/>
    <w:uiPriority w:val="99"/>
    <w:rsid w:val="00893C47"/>
    <w:pPr>
      <w:tabs>
        <w:tab w:val="center" w:pos="4419"/>
        <w:tab w:val="right" w:pos="8838"/>
      </w:tabs>
    </w:pPr>
  </w:style>
  <w:style w:type="character" w:customStyle="1" w:styleId="PiedepginaCar">
    <w:name w:val="Pie de página Car"/>
    <w:link w:val="Piedepgina"/>
    <w:uiPriority w:val="99"/>
    <w:rsid w:val="00893C47"/>
    <w:rPr>
      <w:sz w:val="24"/>
      <w:szCs w:val="24"/>
      <w:lang w:val="es-ES" w:eastAsia="es-ES"/>
    </w:rPr>
  </w:style>
  <w:style w:type="character" w:customStyle="1" w:styleId="apple-converted-space">
    <w:name w:val="apple-converted-space"/>
    <w:rsid w:val="00710211"/>
  </w:style>
  <w:style w:type="character" w:styleId="nfasis">
    <w:name w:val="Emphasis"/>
    <w:uiPriority w:val="20"/>
    <w:qFormat/>
    <w:rsid w:val="00414FAA"/>
    <w:rPr>
      <w:i/>
      <w:iCs/>
    </w:rPr>
  </w:style>
  <w:style w:type="character" w:styleId="Hipervnculo">
    <w:name w:val="Hyperlink"/>
    <w:basedOn w:val="Fuentedeprrafopredeter"/>
    <w:uiPriority w:val="99"/>
    <w:rsid w:val="001013CE"/>
    <w:rPr>
      <w:color w:val="0563C1" w:themeColor="hyperlink"/>
      <w:u w:val="single"/>
    </w:rPr>
  </w:style>
  <w:style w:type="character" w:customStyle="1" w:styleId="Ttulo1Car">
    <w:name w:val="Título 1 Car"/>
    <w:basedOn w:val="Fuentedeprrafopredeter"/>
    <w:link w:val="Ttulo1"/>
    <w:uiPriority w:val="9"/>
    <w:rsid w:val="001013CE"/>
    <w:rPr>
      <w:rFonts w:eastAsia="Yu Gothic Light"/>
      <w:b/>
      <w:color w:val="000000"/>
      <w:sz w:val="24"/>
      <w:szCs w:val="32"/>
      <w:lang w:val="en-GB" w:eastAsia="en-US"/>
    </w:rPr>
  </w:style>
  <w:style w:type="character" w:customStyle="1" w:styleId="Ttulo2Car">
    <w:name w:val="Título 2 Car"/>
    <w:basedOn w:val="Fuentedeprrafopredeter"/>
    <w:link w:val="Ttulo2"/>
    <w:uiPriority w:val="9"/>
    <w:rsid w:val="001013CE"/>
    <w:rPr>
      <w:rFonts w:eastAsia="Yu Gothic Light"/>
      <w:b/>
      <w:color w:val="000000"/>
      <w:sz w:val="24"/>
      <w:szCs w:val="26"/>
      <w:lang w:val="en-GB" w:eastAsia="en-US"/>
    </w:rPr>
  </w:style>
  <w:style w:type="numbering" w:customStyle="1" w:styleId="Sinlista1">
    <w:name w:val="Sin lista1"/>
    <w:next w:val="Sinlista"/>
    <w:uiPriority w:val="99"/>
    <w:semiHidden/>
    <w:unhideWhenUsed/>
    <w:rsid w:val="001013CE"/>
  </w:style>
  <w:style w:type="paragraph" w:styleId="Sinespaciado">
    <w:name w:val="No Spacing"/>
    <w:link w:val="SinespaciadoCar"/>
    <w:uiPriority w:val="1"/>
    <w:qFormat/>
    <w:rsid w:val="001013CE"/>
    <w:rPr>
      <w:rFonts w:ascii="Calibri" w:eastAsia="Yu Mincho" w:hAnsi="Calibri"/>
      <w:sz w:val="22"/>
      <w:szCs w:val="22"/>
      <w:lang w:val="en-US" w:eastAsia="zh-CN"/>
    </w:rPr>
  </w:style>
  <w:style w:type="character" w:customStyle="1" w:styleId="SinespaciadoCar">
    <w:name w:val="Sin espaciado Car"/>
    <w:link w:val="Sinespaciado"/>
    <w:uiPriority w:val="1"/>
    <w:rsid w:val="001013CE"/>
    <w:rPr>
      <w:rFonts w:ascii="Calibri" w:eastAsia="Yu Mincho" w:hAnsi="Calibri"/>
      <w:sz w:val="22"/>
      <w:szCs w:val="22"/>
      <w:lang w:val="en-US" w:eastAsia="zh-CN"/>
    </w:rPr>
  </w:style>
  <w:style w:type="character" w:styleId="Nmerodepgina">
    <w:name w:val="page number"/>
    <w:uiPriority w:val="99"/>
    <w:unhideWhenUsed/>
    <w:rsid w:val="001013CE"/>
  </w:style>
  <w:style w:type="paragraph" w:styleId="TDC2">
    <w:name w:val="toc 2"/>
    <w:basedOn w:val="Normal"/>
    <w:next w:val="Normal"/>
    <w:autoRedefine/>
    <w:uiPriority w:val="39"/>
    <w:unhideWhenUsed/>
    <w:rsid w:val="001013CE"/>
    <w:pPr>
      <w:ind w:left="220"/>
    </w:pPr>
    <w:rPr>
      <w:rFonts w:eastAsia="Calibri"/>
      <w:szCs w:val="22"/>
      <w:lang w:val="en-GB" w:eastAsia="en-US"/>
    </w:rPr>
  </w:style>
  <w:style w:type="paragraph" w:styleId="TDC1">
    <w:name w:val="toc 1"/>
    <w:basedOn w:val="Normal"/>
    <w:next w:val="Normal"/>
    <w:autoRedefine/>
    <w:uiPriority w:val="39"/>
    <w:unhideWhenUsed/>
    <w:rsid w:val="001013CE"/>
    <w:pPr>
      <w:spacing w:after="100"/>
    </w:pPr>
    <w:rPr>
      <w:rFonts w:eastAsia="Calibri"/>
      <w:szCs w:val="22"/>
      <w:lang w:val="en-GB" w:eastAsia="en-US"/>
    </w:rPr>
  </w:style>
  <w:style w:type="paragraph" w:styleId="TDC3">
    <w:name w:val="toc 3"/>
    <w:basedOn w:val="Normal"/>
    <w:next w:val="Normal"/>
    <w:autoRedefine/>
    <w:uiPriority w:val="39"/>
    <w:unhideWhenUsed/>
    <w:rsid w:val="001013CE"/>
    <w:pPr>
      <w:ind w:left="440"/>
    </w:pPr>
    <w:rPr>
      <w:rFonts w:eastAsia="Calibri"/>
      <w:szCs w:val="22"/>
      <w:lang w:val="en-GB" w:eastAsia="en-US"/>
    </w:rPr>
  </w:style>
  <w:style w:type="paragraph" w:styleId="TDC4">
    <w:name w:val="toc 4"/>
    <w:basedOn w:val="Normal"/>
    <w:next w:val="Normal"/>
    <w:autoRedefine/>
    <w:uiPriority w:val="39"/>
    <w:unhideWhenUsed/>
    <w:rsid w:val="001013CE"/>
    <w:pPr>
      <w:ind w:left="660"/>
    </w:pPr>
    <w:rPr>
      <w:rFonts w:eastAsia="Calibri"/>
      <w:szCs w:val="22"/>
      <w:lang w:val="en-GB" w:eastAsia="en-US"/>
    </w:rPr>
  </w:style>
  <w:style w:type="paragraph" w:styleId="TDC5">
    <w:name w:val="toc 5"/>
    <w:basedOn w:val="Normal"/>
    <w:next w:val="Normal"/>
    <w:autoRedefine/>
    <w:uiPriority w:val="39"/>
    <w:unhideWhenUsed/>
    <w:rsid w:val="001013CE"/>
    <w:pPr>
      <w:ind w:left="880"/>
    </w:pPr>
    <w:rPr>
      <w:rFonts w:eastAsia="Calibri"/>
      <w:szCs w:val="22"/>
      <w:lang w:val="en-GB" w:eastAsia="en-US"/>
    </w:rPr>
  </w:style>
  <w:style w:type="paragraph" w:styleId="TDC6">
    <w:name w:val="toc 6"/>
    <w:basedOn w:val="Normal"/>
    <w:next w:val="Normal"/>
    <w:autoRedefine/>
    <w:uiPriority w:val="39"/>
    <w:unhideWhenUsed/>
    <w:rsid w:val="001013CE"/>
    <w:pPr>
      <w:ind w:left="1100"/>
    </w:pPr>
    <w:rPr>
      <w:rFonts w:eastAsia="Calibri"/>
      <w:szCs w:val="22"/>
      <w:lang w:val="en-GB" w:eastAsia="en-US"/>
    </w:rPr>
  </w:style>
  <w:style w:type="paragraph" w:styleId="TDC7">
    <w:name w:val="toc 7"/>
    <w:basedOn w:val="Normal"/>
    <w:next w:val="Normal"/>
    <w:autoRedefine/>
    <w:uiPriority w:val="39"/>
    <w:unhideWhenUsed/>
    <w:rsid w:val="001013CE"/>
    <w:pPr>
      <w:ind w:left="1320"/>
    </w:pPr>
    <w:rPr>
      <w:rFonts w:eastAsia="Calibri"/>
      <w:szCs w:val="22"/>
      <w:lang w:val="en-GB" w:eastAsia="en-US"/>
    </w:rPr>
  </w:style>
  <w:style w:type="paragraph" w:styleId="TDC8">
    <w:name w:val="toc 8"/>
    <w:basedOn w:val="Normal"/>
    <w:next w:val="Normal"/>
    <w:autoRedefine/>
    <w:uiPriority w:val="39"/>
    <w:unhideWhenUsed/>
    <w:rsid w:val="001013CE"/>
    <w:pPr>
      <w:ind w:left="1540"/>
    </w:pPr>
    <w:rPr>
      <w:rFonts w:eastAsia="Calibri"/>
      <w:szCs w:val="22"/>
      <w:lang w:val="en-GB" w:eastAsia="en-US"/>
    </w:rPr>
  </w:style>
  <w:style w:type="paragraph" w:styleId="TDC9">
    <w:name w:val="toc 9"/>
    <w:basedOn w:val="Normal"/>
    <w:next w:val="Normal"/>
    <w:autoRedefine/>
    <w:uiPriority w:val="39"/>
    <w:unhideWhenUsed/>
    <w:rsid w:val="001013CE"/>
    <w:pPr>
      <w:ind w:left="1760"/>
    </w:pPr>
    <w:rPr>
      <w:rFonts w:eastAsia="Calibri"/>
      <w:szCs w:val="22"/>
      <w:lang w:val="en-GB" w:eastAsia="en-US"/>
    </w:rPr>
  </w:style>
  <w:style w:type="character" w:styleId="Refdecomentario">
    <w:name w:val="annotation reference"/>
    <w:uiPriority w:val="99"/>
    <w:unhideWhenUsed/>
    <w:rsid w:val="001013CE"/>
    <w:rPr>
      <w:sz w:val="16"/>
      <w:szCs w:val="16"/>
    </w:rPr>
  </w:style>
  <w:style w:type="paragraph" w:styleId="Textocomentario">
    <w:name w:val="annotation text"/>
    <w:basedOn w:val="Normal"/>
    <w:link w:val="TextocomentarioCar"/>
    <w:uiPriority w:val="99"/>
    <w:unhideWhenUsed/>
    <w:rsid w:val="001013CE"/>
    <w:rPr>
      <w:rFonts w:eastAsia="Calibri"/>
      <w:sz w:val="20"/>
      <w:szCs w:val="20"/>
      <w:lang w:val="es-ES_tradnl" w:eastAsia="es-ES_tradnl"/>
    </w:rPr>
  </w:style>
  <w:style w:type="character" w:customStyle="1" w:styleId="TextocomentarioCar">
    <w:name w:val="Texto comentario Car"/>
    <w:basedOn w:val="Fuentedeprrafopredeter"/>
    <w:link w:val="Textocomentario"/>
    <w:uiPriority w:val="99"/>
    <w:rsid w:val="001013CE"/>
    <w:rPr>
      <w:rFonts w:eastAsia="Calibri"/>
      <w:lang w:val="es-ES_tradnl" w:eastAsia="es-ES_tradnl"/>
    </w:rPr>
  </w:style>
  <w:style w:type="paragraph" w:styleId="Textodeglobo">
    <w:name w:val="Balloon Text"/>
    <w:basedOn w:val="Normal"/>
    <w:link w:val="TextodegloboCar"/>
    <w:uiPriority w:val="99"/>
    <w:unhideWhenUsed/>
    <w:rsid w:val="001013CE"/>
    <w:rPr>
      <w:rFonts w:eastAsia="Calibri"/>
      <w:sz w:val="18"/>
      <w:szCs w:val="18"/>
      <w:lang w:val="en-GB" w:eastAsia="en-US"/>
    </w:rPr>
  </w:style>
  <w:style w:type="character" w:customStyle="1" w:styleId="TextodegloboCar">
    <w:name w:val="Texto de globo Car"/>
    <w:basedOn w:val="Fuentedeprrafopredeter"/>
    <w:link w:val="Textodeglobo"/>
    <w:uiPriority w:val="99"/>
    <w:rsid w:val="001013CE"/>
    <w:rPr>
      <w:rFonts w:eastAsia="Calibri"/>
      <w:sz w:val="18"/>
      <w:szCs w:val="18"/>
      <w:lang w:val="en-GB" w:eastAsia="en-US"/>
    </w:rPr>
  </w:style>
  <w:style w:type="paragraph" w:styleId="Textonotapie">
    <w:name w:val="footnote text"/>
    <w:basedOn w:val="Normal"/>
    <w:link w:val="TextonotapieCar"/>
    <w:uiPriority w:val="99"/>
    <w:unhideWhenUsed/>
    <w:rsid w:val="001013CE"/>
    <w:rPr>
      <w:rFonts w:eastAsia="Calibri"/>
      <w:lang w:val="es-ES_tradnl" w:eastAsia="es-ES_tradnl"/>
    </w:rPr>
  </w:style>
  <w:style w:type="character" w:customStyle="1" w:styleId="TextonotapieCar">
    <w:name w:val="Texto nota pie Car"/>
    <w:basedOn w:val="Fuentedeprrafopredeter"/>
    <w:link w:val="Textonotapie"/>
    <w:uiPriority w:val="99"/>
    <w:rsid w:val="001013CE"/>
    <w:rPr>
      <w:rFonts w:eastAsia="Calibri"/>
      <w:sz w:val="24"/>
      <w:szCs w:val="24"/>
      <w:lang w:val="es-ES_tradnl" w:eastAsia="es-ES_tradnl"/>
    </w:rPr>
  </w:style>
  <w:style w:type="character" w:styleId="Refdenotaalpie">
    <w:name w:val="footnote reference"/>
    <w:uiPriority w:val="99"/>
    <w:unhideWhenUsed/>
    <w:rsid w:val="001013CE"/>
    <w:rPr>
      <w:vertAlign w:val="superscript"/>
    </w:rPr>
  </w:style>
  <w:style w:type="paragraph" w:styleId="Descripcin">
    <w:name w:val="caption"/>
    <w:basedOn w:val="Normal"/>
    <w:next w:val="Normal"/>
    <w:uiPriority w:val="35"/>
    <w:unhideWhenUsed/>
    <w:qFormat/>
    <w:rsid w:val="001013CE"/>
    <w:pPr>
      <w:spacing w:after="200"/>
    </w:pPr>
    <w:rPr>
      <w:rFonts w:ascii="Calibri" w:eastAsia="Calibri" w:hAnsi="Calibri"/>
      <w:i/>
      <w:iCs/>
      <w:color w:val="44546A"/>
      <w:sz w:val="18"/>
      <w:szCs w:val="18"/>
      <w:lang w:val="en-GB" w:eastAsia="en-US"/>
    </w:rPr>
  </w:style>
  <w:style w:type="table" w:styleId="Tablaconcuadrcula">
    <w:name w:val="Table Grid"/>
    <w:basedOn w:val="Tablanormal"/>
    <w:uiPriority w:val="39"/>
    <w:rsid w:val="001013CE"/>
    <w:rPr>
      <w:rFonts w:ascii="Calibri" w:eastAsia="Calibri" w:hAnsi="Calibri"/>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rsid w:val="001013CE"/>
    <w:pPr>
      <w:ind w:left="480" w:hanging="480"/>
    </w:pPr>
    <w:rPr>
      <w:rFonts w:eastAsia="Calibri"/>
      <w:szCs w:val="22"/>
      <w:lang w:val="en-GB" w:eastAsia="en-US"/>
    </w:rPr>
  </w:style>
  <w:style w:type="paragraph" w:styleId="Asuntodelcomentario">
    <w:name w:val="annotation subject"/>
    <w:basedOn w:val="Textocomentario"/>
    <w:next w:val="Textocomentario"/>
    <w:link w:val="AsuntodelcomentarioCar"/>
    <w:uiPriority w:val="99"/>
    <w:unhideWhenUsed/>
    <w:rsid w:val="001013CE"/>
    <w:rPr>
      <w:b/>
      <w:bCs/>
      <w:lang w:val="en-GB" w:eastAsia="en-US"/>
    </w:rPr>
  </w:style>
  <w:style w:type="character" w:customStyle="1" w:styleId="AsuntodelcomentarioCar">
    <w:name w:val="Asunto del comentario Car"/>
    <w:basedOn w:val="TextocomentarioCar"/>
    <w:link w:val="Asuntodelcomentario"/>
    <w:uiPriority w:val="99"/>
    <w:rsid w:val="001013CE"/>
    <w:rPr>
      <w:rFonts w:eastAsia="Calibri"/>
      <w:b/>
      <w:bCs/>
      <w:lang w:val="en-GB" w:eastAsia="en-US"/>
    </w:rPr>
  </w:style>
  <w:style w:type="paragraph" w:styleId="HTMLconformatoprevio">
    <w:name w:val="HTML Preformatted"/>
    <w:basedOn w:val="Normal"/>
    <w:link w:val="HTMLconformatoprevioCar"/>
    <w:uiPriority w:val="99"/>
    <w:unhideWhenUsed/>
    <w:rsid w:val="001013CE"/>
    <w:rPr>
      <w:rFonts w:ascii="Courier" w:eastAsia="Calibri" w:hAnsi="Courier"/>
      <w:sz w:val="20"/>
      <w:szCs w:val="20"/>
      <w:lang w:val="en-GB" w:eastAsia="en-US"/>
    </w:rPr>
  </w:style>
  <w:style w:type="character" w:customStyle="1" w:styleId="HTMLconformatoprevioCar">
    <w:name w:val="HTML con formato previo Car"/>
    <w:basedOn w:val="Fuentedeprrafopredeter"/>
    <w:link w:val="HTMLconformatoprevio"/>
    <w:uiPriority w:val="99"/>
    <w:rsid w:val="001013CE"/>
    <w:rPr>
      <w:rFonts w:ascii="Courier" w:eastAsia="Calibri" w:hAnsi="Courier"/>
      <w:lang w:val="en-GB" w:eastAsia="en-US"/>
    </w:rPr>
  </w:style>
  <w:style w:type="character" w:styleId="Textodelmarcadordeposicin">
    <w:name w:val="Placeholder Text"/>
    <w:uiPriority w:val="99"/>
    <w:semiHidden/>
    <w:rsid w:val="001013CE"/>
    <w:rPr>
      <w:color w:val="808080"/>
    </w:rPr>
  </w:style>
  <w:style w:type="paragraph" w:styleId="Revisin">
    <w:name w:val="Revision"/>
    <w:hidden/>
    <w:uiPriority w:val="99"/>
    <w:semiHidden/>
    <w:rsid w:val="001013CE"/>
    <w:rPr>
      <w:rFonts w:eastAsia="Calibri"/>
      <w:sz w:val="24"/>
      <w:szCs w:val="22"/>
      <w:lang w:val="en-GB" w:eastAsia="en-US"/>
    </w:rPr>
  </w:style>
  <w:style w:type="paragraph" w:styleId="Prrafodelista">
    <w:name w:val="List Paragraph"/>
    <w:basedOn w:val="Normal"/>
    <w:uiPriority w:val="34"/>
    <w:qFormat/>
    <w:rsid w:val="001013CE"/>
    <w:pPr>
      <w:spacing w:after="160" w:line="259"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4369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201">
          <w:marLeft w:val="240"/>
          <w:marRight w:val="480"/>
          <w:marTop w:val="120"/>
          <w:marBottom w:val="0"/>
          <w:divBdr>
            <w:top w:val="none" w:sz="0" w:space="0" w:color="auto"/>
            <w:left w:val="none" w:sz="0" w:space="0" w:color="auto"/>
            <w:bottom w:val="none" w:sz="0" w:space="0" w:color="auto"/>
            <w:right w:val="none" w:sz="0" w:space="0" w:color="auto"/>
          </w:divBdr>
        </w:div>
      </w:divsChild>
    </w:div>
    <w:div w:id="1283463324">
      <w:bodyDiv w:val="1"/>
      <w:marLeft w:val="0"/>
      <w:marRight w:val="0"/>
      <w:marTop w:val="0"/>
      <w:marBottom w:val="0"/>
      <w:divBdr>
        <w:top w:val="none" w:sz="0" w:space="0" w:color="auto"/>
        <w:left w:val="none" w:sz="0" w:space="0" w:color="auto"/>
        <w:bottom w:val="none" w:sz="0" w:space="0" w:color="auto"/>
        <w:right w:val="none" w:sz="0" w:space="0" w:color="auto"/>
      </w:divBdr>
      <w:divsChild>
        <w:div w:id="1067922094">
          <w:marLeft w:val="240"/>
          <w:marRight w:val="480"/>
          <w:marTop w:val="12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gga_2804@yahoo.es" TargetMode="External"/><Relationship Id="rId13" Type="http://schemas.openxmlformats.org/officeDocument/2006/relationships/image" Target="media/image5.jpeg"/><Relationship Id="rId18" Type="http://schemas.openxmlformats.org/officeDocument/2006/relationships/hyperlink" Target="http://www.fbbva.es/TLFU/microsites/stock09/fbbva_stock08_index.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ndres.maroto@uam.es"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9386</Words>
  <Characters>51628</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lpstr>
    </vt:vector>
  </TitlesOfParts>
  <Company>AECR</Company>
  <LinksUpToDate>false</LinksUpToDate>
  <CharactersWithSpaces>60893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AECR</dc:creator>
  <cp:keywords/>
  <cp:lastModifiedBy>Andres Maroto Sanchez</cp:lastModifiedBy>
  <cp:revision>2</cp:revision>
  <dcterms:created xsi:type="dcterms:W3CDTF">2017-09-28T10:19:00Z</dcterms:created>
  <dcterms:modified xsi:type="dcterms:W3CDTF">2017-09-28T10:19:00Z</dcterms:modified>
</cp:coreProperties>
</file>