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C4" w:rsidRPr="00CE15DB" w:rsidRDefault="00934FC4" w:rsidP="00934FC4"/>
    <w:p w:rsidR="00934FC4" w:rsidRDefault="00934FC4" w:rsidP="00934FC4"/>
    <w:p w:rsidR="00934FC4" w:rsidRDefault="00934FC4" w:rsidP="00934FC4"/>
    <w:p w:rsidR="00CD5F05" w:rsidRDefault="0034036C" w:rsidP="00B80E79">
      <w:pPr>
        <w:jc w:val="center"/>
        <w:rPr>
          <w:b/>
          <w:sz w:val="32"/>
          <w:lang w:val="en-US"/>
        </w:rPr>
      </w:pPr>
      <w:bookmarkStart w:id="0" w:name="_GoBack"/>
      <w:r w:rsidRPr="004D53D8">
        <w:rPr>
          <w:b/>
          <w:sz w:val="32"/>
          <w:lang w:val="en-US"/>
        </w:rPr>
        <w:t xml:space="preserve">Does Affordable Housing Affect Real </w:t>
      </w:r>
      <w:bookmarkEnd w:id="0"/>
      <w:r w:rsidRPr="004D53D8">
        <w:rPr>
          <w:b/>
          <w:sz w:val="32"/>
          <w:lang w:val="en-US"/>
        </w:rPr>
        <w:t>Free-Market</w:t>
      </w:r>
      <w:r>
        <w:rPr>
          <w:b/>
          <w:sz w:val="32"/>
          <w:lang w:val="en-US"/>
        </w:rPr>
        <w:t xml:space="preserve"> Housing prices?</w:t>
      </w:r>
    </w:p>
    <w:p w:rsidR="0034036C" w:rsidRDefault="0034036C" w:rsidP="00435266">
      <w:pPr>
        <w:rPr>
          <w:b/>
        </w:rPr>
      </w:pPr>
    </w:p>
    <w:p w:rsidR="00B80E79" w:rsidRPr="00B80E79" w:rsidRDefault="00B80E79" w:rsidP="0034036C">
      <w:pPr>
        <w:rPr>
          <w:lang w:val="en-US"/>
        </w:rPr>
      </w:pPr>
      <w:proofErr w:type="spellStart"/>
      <w:r w:rsidRPr="00B80E79">
        <w:rPr>
          <w:lang w:val="en-US"/>
        </w:rPr>
        <w:t>Amaia</w:t>
      </w:r>
      <w:proofErr w:type="spellEnd"/>
      <w:r w:rsidRPr="00B80E79">
        <w:rPr>
          <w:lang w:val="en-US"/>
        </w:rPr>
        <w:t xml:space="preserve"> Altuzarra</w:t>
      </w:r>
    </w:p>
    <w:p w:rsidR="0034036C" w:rsidRPr="00B80E79" w:rsidRDefault="00B80E79" w:rsidP="0034036C">
      <w:pPr>
        <w:rPr>
          <w:b/>
          <w:lang w:val="en-US"/>
        </w:rPr>
      </w:pPr>
      <w:r w:rsidRPr="00B80E79">
        <w:rPr>
          <w:lang w:val="en-US"/>
        </w:rPr>
        <w:t>amaia.altuzarra@ehu.eus</w:t>
      </w:r>
    </w:p>
    <w:p w:rsidR="0034036C" w:rsidRDefault="00B80E79" w:rsidP="0034036C">
      <w:pPr>
        <w:rPr>
          <w:lang w:val="en-US"/>
        </w:rPr>
      </w:pPr>
      <w:r w:rsidRPr="00B80E79">
        <w:rPr>
          <w:lang w:val="en-US"/>
        </w:rPr>
        <w:t>Marisol Esteban</w:t>
      </w:r>
    </w:p>
    <w:p w:rsidR="00B80E79" w:rsidRDefault="00B80E79" w:rsidP="0034036C">
      <w:pPr>
        <w:rPr>
          <w:lang w:val="en-US"/>
        </w:rPr>
      </w:pPr>
      <w:hyperlink r:id="rId7" w:history="1">
        <w:r w:rsidRPr="00A146EC">
          <w:rPr>
            <w:rStyle w:val="Hipervnculo"/>
            <w:lang w:val="en-US"/>
          </w:rPr>
          <w:t>Marisol.esteban@ehu.eus</w:t>
        </w:r>
      </w:hyperlink>
    </w:p>
    <w:p w:rsidR="00B80E79" w:rsidRPr="00B80E79" w:rsidRDefault="00B80E79" w:rsidP="0034036C">
      <w:pPr>
        <w:rPr>
          <w:lang w:val="en-US"/>
        </w:rPr>
      </w:pPr>
    </w:p>
    <w:p w:rsidR="0034036C" w:rsidRPr="004D53D8" w:rsidRDefault="0034036C" w:rsidP="0034036C">
      <w:pPr>
        <w:rPr>
          <w:lang w:val="en-US"/>
        </w:rPr>
      </w:pPr>
      <w:r w:rsidRPr="004D53D8">
        <w:rPr>
          <w:lang w:val="en-US"/>
        </w:rPr>
        <w:t>Applied Economics V Department</w:t>
      </w:r>
    </w:p>
    <w:p w:rsidR="0034036C" w:rsidRPr="00F22434" w:rsidRDefault="0034036C" w:rsidP="0034036C">
      <w:pPr>
        <w:rPr>
          <w:lang w:val="en-GB"/>
        </w:rPr>
      </w:pPr>
      <w:r w:rsidRPr="004D53D8">
        <w:rPr>
          <w:lang w:val="en-US"/>
        </w:rPr>
        <w:t>University of the Basque Country (UPV/EHU</w:t>
      </w:r>
      <w:r>
        <w:rPr>
          <w:lang w:val="en-US"/>
        </w:rPr>
        <w:t>)</w:t>
      </w:r>
    </w:p>
    <w:p w:rsidR="0034036C" w:rsidRPr="00F22434" w:rsidRDefault="0034036C" w:rsidP="0034036C">
      <w:pPr>
        <w:rPr>
          <w:b/>
          <w:lang w:val="en-GB"/>
        </w:rPr>
      </w:pPr>
    </w:p>
    <w:p w:rsidR="0034036C" w:rsidRPr="00FE540D" w:rsidRDefault="0034036C" w:rsidP="0034036C">
      <w:pPr>
        <w:rPr>
          <w:i/>
        </w:rPr>
      </w:pPr>
      <w:proofErr w:type="spellStart"/>
      <w:r w:rsidRPr="00FE540D">
        <w:rPr>
          <w:b/>
        </w:rPr>
        <w:t>Subject</w:t>
      </w:r>
      <w:proofErr w:type="spellEnd"/>
      <w:r w:rsidRPr="00FE540D">
        <w:rPr>
          <w:b/>
        </w:rPr>
        <w:t xml:space="preserve"> </w:t>
      </w:r>
      <w:proofErr w:type="spellStart"/>
      <w:r w:rsidRPr="00FE540D">
        <w:rPr>
          <w:b/>
        </w:rPr>
        <w:t>area</w:t>
      </w:r>
      <w:proofErr w:type="spellEnd"/>
      <w:r w:rsidRPr="00FE540D">
        <w:rPr>
          <w:b/>
        </w:rPr>
        <w:t xml:space="preserve">: </w:t>
      </w:r>
      <w:r>
        <w:t>Ordenación del territorio, urbanismo y vivienda</w:t>
      </w:r>
    </w:p>
    <w:p w:rsidR="0034036C" w:rsidRPr="00F22434" w:rsidRDefault="0034036C" w:rsidP="0034036C">
      <w:pPr>
        <w:rPr>
          <w:b/>
        </w:rPr>
      </w:pPr>
    </w:p>
    <w:p w:rsidR="0034036C" w:rsidRDefault="0034036C" w:rsidP="0034036C">
      <w:pPr>
        <w:rPr>
          <w:i/>
          <w:lang w:val="en-GB"/>
        </w:rPr>
      </w:pPr>
      <w:r w:rsidRPr="00F22434">
        <w:rPr>
          <w:b/>
          <w:lang w:val="en-GB"/>
        </w:rPr>
        <w:t>Abstract:</w:t>
      </w:r>
    </w:p>
    <w:p w:rsidR="0034036C" w:rsidRPr="004D53D8" w:rsidRDefault="0034036C" w:rsidP="00B80E79">
      <w:pPr>
        <w:spacing w:before="120" w:after="120" w:line="360" w:lineRule="auto"/>
        <w:jc w:val="both"/>
        <w:rPr>
          <w:lang w:val="en-US"/>
        </w:rPr>
      </w:pPr>
      <w:r w:rsidRPr="004D53D8">
        <w:rPr>
          <w:lang w:val="en-US"/>
        </w:rPr>
        <w:t>Affordable housing advocates have argued that construction of affordable housing does not affect the level of real free-housing market prices. However, construction interests have claimed that affordable housing has contributed to the increase in free-market housing prices since lower benefits in the affordable housing sector must be compensated by higher prices in the free housing market.</w:t>
      </w:r>
    </w:p>
    <w:p w:rsidR="0034036C" w:rsidRPr="004D53D8" w:rsidRDefault="0034036C" w:rsidP="00B80E79">
      <w:pPr>
        <w:spacing w:before="120" w:after="120" w:line="360" w:lineRule="auto"/>
        <w:jc w:val="both"/>
        <w:rPr>
          <w:lang w:val="en-US"/>
        </w:rPr>
      </w:pPr>
      <w:r w:rsidRPr="004D53D8">
        <w:rPr>
          <w:lang w:val="en-US"/>
        </w:rPr>
        <w:t xml:space="preserve">This paper tries to investigate the case of the Spanish housing market and determine whether the construction of affordable housing (subsidized owner-occupied housing) had any effect on free-market housing price increases. </w:t>
      </w:r>
    </w:p>
    <w:p w:rsidR="0034036C" w:rsidRPr="004D53D8" w:rsidRDefault="0034036C" w:rsidP="00B80E79">
      <w:pPr>
        <w:spacing w:before="120" w:after="120" w:line="360" w:lineRule="auto"/>
        <w:jc w:val="both"/>
        <w:rPr>
          <w:lang w:val="en-US"/>
        </w:rPr>
      </w:pPr>
      <w:r w:rsidRPr="004D53D8">
        <w:rPr>
          <w:lang w:val="en-GB"/>
        </w:rPr>
        <w:t>I</w:t>
      </w:r>
      <w:r w:rsidRPr="004D53D8">
        <w:rPr>
          <w:bCs/>
          <w:lang w:val="en-GB"/>
        </w:rPr>
        <w:t>n order to achieve this aim we use</w:t>
      </w:r>
      <w:r w:rsidRPr="004D53D8">
        <w:rPr>
          <w:lang w:val="en-GB"/>
        </w:rPr>
        <w:t xml:space="preserve"> a panel dataset for</w:t>
      </w:r>
      <w:r w:rsidRPr="004D53D8">
        <w:rPr>
          <w:lang w:val="en-US"/>
        </w:rPr>
        <w:t xml:space="preserve"> 50 Spanish provinces over the period 1995-2010. Our dependent variable is the real free-market housing prices per square meter. Our main explanatory is the ratio of affordable housing completions to free market housing completions (</w:t>
      </w:r>
      <w:r w:rsidRPr="004D53D8">
        <w:rPr>
          <w:i/>
          <w:lang w:val="en-US"/>
        </w:rPr>
        <w:t>ratio</w:t>
      </w:r>
      <w:r w:rsidRPr="004D53D8">
        <w:rPr>
          <w:lang w:val="en-US"/>
        </w:rPr>
        <w:t>, hereafter). We include in our estimation the square of this ratio to identify a potential non-monotonic relations</w:t>
      </w:r>
      <w:r>
        <w:rPr>
          <w:lang w:val="en-US"/>
        </w:rPr>
        <w:t xml:space="preserve">hip with the dependent variable and a set of control variables. </w:t>
      </w:r>
    </w:p>
    <w:p w:rsidR="0034036C" w:rsidRPr="004D53D8" w:rsidRDefault="0034036C" w:rsidP="00B80E79">
      <w:pPr>
        <w:spacing w:before="120" w:after="120" w:line="360" w:lineRule="auto"/>
        <w:jc w:val="both"/>
        <w:rPr>
          <w:lang w:val="en-US"/>
        </w:rPr>
      </w:pPr>
      <w:r w:rsidRPr="004D53D8">
        <w:rPr>
          <w:lang w:val="en-US"/>
        </w:rPr>
        <w:t>We run different estimation methods including a difference General Method of Moments (GMM) approach esti</w:t>
      </w:r>
      <w:r>
        <w:rPr>
          <w:lang w:val="en-US"/>
        </w:rPr>
        <w:t>mator which</w:t>
      </w:r>
      <w:r w:rsidRPr="004D53D8">
        <w:rPr>
          <w:lang w:val="en-US"/>
        </w:rPr>
        <w:t xml:space="preserve"> </w:t>
      </w:r>
      <w:r>
        <w:rPr>
          <w:lang w:val="en-US"/>
        </w:rPr>
        <w:t>w</w:t>
      </w:r>
      <w:r w:rsidRPr="004D53D8">
        <w:rPr>
          <w:lang w:val="en-US"/>
        </w:rPr>
        <w:t xml:space="preserve">e consider that gives the most credible results as it accounts for different sources of endogeneity biases. </w:t>
      </w:r>
    </w:p>
    <w:p w:rsidR="0034036C" w:rsidRDefault="0034036C" w:rsidP="00B80E79">
      <w:pPr>
        <w:spacing w:before="120" w:after="120" w:line="360" w:lineRule="auto"/>
        <w:jc w:val="both"/>
        <w:rPr>
          <w:lang w:val="en-US"/>
        </w:rPr>
      </w:pPr>
      <w:r w:rsidRPr="004D53D8">
        <w:rPr>
          <w:lang w:val="en-US"/>
        </w:rPr>
        <w:t xml:space="preserve">Our main result is that the </w:t>
      </w:r>
      <w:r w:rsidRPr="004D53D8">
        <w:rPr>
          <w:i/>
          <w:lang w:val="en-US"/>
        </w:rPr>
        <w:t>ratio</w:t>
      </w:r>
      <w:r w:rsidRPr="004D53D8">
        <w:rPr>
          <w:lang w:val="en-US"/>
        </w:rPr>
        <w:t xml:space="preserve"> does affect the level of the Spanish real free-market housing prices. We also find a threshold effect in the relationship between the real free-market housing prices and the </w:t>
      </w:r>
      <w:r w:rsidRPr="004D53D8">
        <w:rPr>
          <w:i/>
          <w:lang w:val="en-US"/>
        </w:rPr>
        <w:t>ratio</w:t>
      </w:r>
      <w:r w:rsidRPr="004D53D8">
        <w:rPr>
          <w:lang w:val="en-US"/>
        </w:rPr>
        <w:t xml:space="preserve">. This results means that the </w:t>
      </w:r>
      <w:r w:rsidRPr="004D53D8">
        <w:rPr>
          <w:i/>
          <w:lang w:val="en-US"/>
        </w:rPr>
        <w:t>ratio</w:t>
      </w:r>
      <w:r w:rsidRPr="004D53D8">
        <w:rPr>
          <w:lang w:val="en-US"/>
        </w:rPr>
        <w:t xml:space="preserve"> negatively affects </w:t>
      </w:r>
      <w:r w:rsidRPr="004D53D8">
        <w:rPr>
          <w:lang w:val="en-US"/>
        </w:rPr>
        <w:lastRenderedPageBreak/>
        <w:t xml:space="preserve">the free-market housing real prices to certain extend, from which the effect of the </w:t>
      </w:r>
      <w:r w:rsidRPr="004D53D8">
        <w:rPr>
          <w:i/>
          <w:lang w:val="en-US"/>
        </w:rPr>
        <w:t>ratio</w:t>
      </w:r>
      <w:r w:rsidRPr="004D53D8">
        <w:rPr>
          <w:lang w:val="en-US"/>
        </w:rPr>
        <w:t xml:space="preserve"> on the prices becomes positive.</w:t>
      </w:r>
    </w:p>
    <w:p w:rsidR="0034036C" w:rsidRPr="004D53D8" w:rsidRDefault="0034036C" w:rsidP="00B80E79">
      <w:pPr>
        <w:spacing w:before="120" w:after="120" w:line="360" w:lineRule="auto"/>
        <w:jc w:val="both"/>
        <w:rPr>
          <w:lang w:val="en-US"/>
        </w:rPr>
      </w:pPr>
      <w:r w:rsidRPr="004D53D8">
        <w:rPr>
          <w:lang w:val="en-US"/>
        </w:rPr>
        <w:t>We have tried to approximate the point from which this relationship becomes positive. This occurs, in all estimations, once the number of affordable housing completions exceeds the number of free-market ones.</w:t>
      </w:r>
    </w:p>
    <w:p w:rsidR="0034036C" w:rsidRPr="004D53D8" w:rsidRDefault="0034036C" w:rsidP="00B80E79">
      <w:pPr>
        <w:spacing w:before="120" w:after="120" w:line="360" w:lineRule="auto"/>
        <w:jc w:val="both"/>
        <w:rPr>
          <w:lang w:val="en-US"/>
        </w:rPr>
      </w:pPr>
      <w:r w:rsidRPr="004D53D8">
        <w:rPr>
          <w:lang w:val="en-US"/>
        </w:rPr>
        <w:t xml:space="preserve">The lagged dependent variable (included also as </w:t>
      </w:r>
      <w:proofErr w:type="spellStart"/>
      <w:r w:rsidRPr="004D53D8">
        <w:rPr>
          <w:lang w:val="en-US"/>
        </w:rPr>
        <w:t>regressor</w:t>
      </w:r>
      <w:proofErr w:type="spellEnd"/>
      <w:r w:rsidRPr="004D53D8">
        <w:rPr>
          <w:lang w:val="en-US"/>
        </w:rPr>
        <w:t xml:space="preserve">) has a large positive effect on the real free-market housing prices which indicates high persistence. </w:t>
      </w:r>
    </w:p>
    <w:p w:rsidR="0034036C" w:rsidRPr="00F22434" w:rsidRDefault="0034036C" w:rsidP="00B80E79">
      <w:pPr>
        <w:spacing w:before="120" w:after="120" w:line="360" w:lineRule="auto"/>
        <w:rPr>
          <w:b/>
          <w:lang w:val="en-GB"/>
        </w:rPr>
      </w:pPr>
    </w:p>
    <w:p w:rsidR="0034036C" w:rsidRPr="00F22434" w:rsidRDefault="0034036C" w:rsidP="00B80E79">
      <w:pPr>
        <w:spacing w:before="120" w:after="120" w:line="360" w:lineRule="auto"/>
        <w:rPr>
          <w:i/>
          <w:lang w:val="en-GB"/>
        </w:rPr>
      </w:pPr>
      <w:r>
        <w:rPr>
          <w:b/>
          <w:lang w:val="en-GB"/>
        </w:rPr>
        <w:t>Key</w:t>
      </w:r>
      <w:r w:rsidRPr="00F22434">
        <w:rPr>
          <w:b/>
          <w:lang w:val="en-GB"/>
        </w:rPr>
        <w:t>words:</w:t>
      </w:r>
      <w:r>
        <w:rPr>
          <w:i/>
          <w:lang w:val="en-GB"/>
        </w:rPr>
        <w:t xml:space="preserve"> </w:t>
      </w:r>
      <w:r w:rsidRPr="004D53D8">
        <w:rPr>
          <w:i/>
          <w:lang w:val="en-US"/>
        </w:rPr>
        <w:t>affordable housing, free-market housing, free-market housing prices, Spain</w:t>
      </w:r>
      <w:r w:rsidRPr="00F22434">
        <w:rPr>
          <w:i/>
          <w:lang w:val="en-GB"/>
        </w:rPr>
        <w:t xml:space="preserve"> </w:t>
      </w:r>
    </w:p>
    <w:p w:rsidR="0034036C" w:rsidRPr="00F22434" w:rsidRDefault="0034036C" w:rsidP="00B80E79">
      <w:pPr>
        <w:spacing w:before="120" w:after="120" w:line="360" w:lineRule="auto"/>
        <w:rPr>
          <w:b/>
          <w:lang w:val="en-GB"/>
        </w:rPr>
      </w:pPr>
      <w:r w:rsidRPr="00F22434">
        <w:rPr>
          <w:b/>
          <w:lang w:val="en-GB"/>
        </w:rPr>
        <w:t xml:space="preserve">JEL codes: </w:t>
      </w:r>
      <w:r w:rsidRPr="004D53D8">
        <w:rPr>
          <w:lang w:val="en-US"/>
        </w:rPr>
        <w:t>R20, R28, R31</w:t>
      </w:r>
    </w:p>
    <w:p w:rsidR="0034036C" w:rsidRPr="00F6143D" w:rsidRDefault="0034036C" w:rsidP="00B80E79">
      <w:pPr>
        <w:spacing w:before="120" w:after="120" w:line="360" w:lineRule="auto"/>
        <w:rPr>
          <w:lang w:val="en-US"/>
        </w:rPr>
      </w:pPr>
    </w:p>
    <w:p w:rsidR="00B80E79" w:rsidRDefault="00B80E79">
      <w:r>
        <w:br w:type="page"/>
      </w:r>
    </w:p>
    <w:p w:rsidR="006A10A1" w:rsidRDefault="006A10A1" w:rsidP="00B80E79">
      <w:pPr>
        <w:spacing w:before="120" w:after="120" w:line="360" w:lineRule="auto"/>
      </w:pPr>
    </w:p>
    <w:p w:rsidR="00B80E79" w:rsidRPr="00B80E79" w:rsidRDefault="00B80E79" w:rsidP="00B80E79">
      <w:pPr>
        <w:spacing w:before="120" w:after="120" w:line="360" w:lineRule="auto"/>
        <w:jc w:val="both"/>
        <w:rPr>
          <w:b/>
          <w:szCs w:val="22"/>
          <w:lang w:val="en-US"/>
        </w:rPr>
      </w:pPr>
      <w:r w:rsidRPr="00B80E79">
        <w:rPr>
          <w:b/>
          <w:szCs w:val="22"/>
          <w:lang w:val="en-US"/>
        </w:rPr>
        <w:t>Introduction</w:t>
      </w:r>
    </w:p>
    <w:p w:rsidR="00B80E79" w:rsidRPr="00B80E79" w:rsidRDefault="00B80E79" w:rsidP="00B80E79">
      <w:pPr>
        <w:spacing w:before="120" w:after="120" w:line="360" w:lineRule="auto"/>
        <w:jc w:val="both"/>
        <w:rPr>
          <w:szCs w:val="22"/>
          <w:lang w:val="en-US"/>
        </w:rPr>
      </w:pPr>
      <w:r w:rsidRPr="00B80E79">
        <w:rPr>
          <w:szCs w:val="22"/>
          <w:lang w:val="en-US"/>
        </w:rPr>
        <w:t xml:space="preserve">The provision of affordable housing through different land use regulations has opened a wide debate over the “incidence” controversy, in terms of </w:t>
      </w:r>
      <w:proofErr w:type="spellStart"/>
      <w:r w:rsidRPr="00B80E79">
        <w:rPr>
          <w:szCs w:val="22"/>
          <w:lang w:val="en-US"/>
        </w:rPr>
        <w:t>Calavita</w:t>
      </w:r>
      <w:proofErr w:type="spellEnd"/>
      <w:r w:rsidRPr="00B80E79">
        <w:rPr>
          <w:szCs w:val="22"/>
          <w:lang w:val="en-US"/>
        </w:rPr>
        <w:t xml:space="preserve"> &amp; </w:t>
      </w:r>
      <w:proofErr w:type="spellStart"/>
      <w:r w:rsidRPr="00B80E79">
        <w:rPr>
          <w:szCs w:val="22"/>
          <w:lang w:val="en-US"/>
        </w:rPr>
        <w:t>Mallach</w:t>
      </w:r>
      <w:proofErr w:type="spellEnd"/>
      <w:r w:rsidRPr="00B80E79">
        <w:rPr>
          <w:szCs w:val="22"/>
          <w:lang w:val="en-US"/>
        </w:rPr>
        <w:t xml:space="preserve"> (2009). That is, “how the costs of providing affordable, and by definition below-market, housing are addressed, and which of the parties in the real estate transaction actually bears those costs” (p. 15). A major concern is that costs are actually being borne by developers and/or market-rate homebuyers. In the US, for instance, many municipalities enacting inclusionary housing ordinances have introduced incentives to reduce these “costs” in terms of higher densities, lower design requirements or financial incentives (e.g., lower parking requirements, relaxation of design standards, deferral, reduction, or waver of applicable permits and impact fees…). The evidence suggests that these incentives may promote affordable housing but the financial burden or the loss of city service levels, </w:t>
      </w:r>
      <w:proofErr w:type="gramStart"/>
      <w:r w:rsidRPr="00B80E79">
        <w:rPr>
          <w:szCs w:val="22"/>
          <w:lang w:val="en-US"/>
        </w:rPr>
        <w:t>may be finally paid</w:t>
      </w:r>
      <w:proofErr w:type="gramEnd"/>
      <w:r w:rsidRPr="00B80E79">
        <w:rPr>
          <w:szCs w:val="22"/>
          <w:lang w:val="en-US"/>
        </w:rPr>
        <w:t xml:space="preserve"> by the taxpayer / public in general (</w:t>
      </w:r>
      <w:proofErr w:type="spellStart"/>
      <w:r w:rsidRPr="00B80E79">
        <w:rPr>
          <w:szCs w:val="22"/>
          <w:lang w:val="en-US"/>
        </w:rPr>
        <w:t>Litman</w:t>
      </w:r>
      <w:proofErr w:type="spellEnd"/>
      <w:r w:rsidRPr="00B80E79">
        <w:rPr>
          <w:szCs w:val="22"/>
          <w:lang w:val="en-US"/>
        </w:rPr>
        <w:t xml:space="preserve">, 2009; Nelson </w:t>
      </w:r>
      <w:r w:rsidRPr="00B80E79">
        <w:rPr>
          <w:i/>
          <w:szCs w:val="22"/>
          <w:lang w:val="en-US"/>
        </w:rPr>
        <w:t>et al</w:t>
      </w:r>
      <w:r w:rsidRPr="00B80E79">
        <w:rPr>
          <w:szCs w:val="22"/>
          <w:lang w:val="en-US"/>
        </w:rPr>
        <w:t xml:space="preserve">. 2002; </w:t>
      </w:r>
      <w:proofErr w:type="spellStart"/>
      <w:r w:rsidRPr="00B80E79">
        <w:rPr>
          <w:szCs w:val="22"/>
          <w:lang w:val="en-US"/>
        </w:rPr>
        <w:t>Mulliner</w:t>
      </w:r>
      <w:proofErr w:type="spellEnd"/>
      <w:r w:rsidRPr="00B80E79">
        <w:rPr>
          <w:szCs w:val="22"/>
          <w:lang w:val="en-US"/>
        </w:rPr>
        <w:t xml:space="preserve">, </w:t>
      </w:r>
      <w:proofErr w:type="spellStart"/>
      <w:r w:rsidRPr="00B80E79">
        <w:rPr>
          <w:szCs w:val="22"/>
          <w:lang w:val="en-US"/>
        </w:rPr>
        <w:t>Smallbone</w:t>
      </w:r>
      <w:proofErr w:type="spellEnd"/>
      <w:r w:rsidRPr="00B80E79">
        <w:rPr>
          <w:szCs w:val="22"/>
          <w:lang w:val="en-US"/>
        </w:rPr>
        <w:t xml:space="preserve"> &amp; </w:t>
      </w:r>
      <w:proofErr w:type="spellStart"/>
      <w:r w:rsidRPr="00B80E79">
        <w:rPr>
          <w:szCs w:val="22"/>
          <w:lang w:val="en-US"/>
        </w:rPr>
        <w:t>Maliene</w:t>
      </w:r>
      <w:proofErr w:type="spellEnd"/>
      <w:r w:rsidRPr="00B80E79">
        <w:rPr>
          <w:szCs w:val="22"/>
          <w:lang w:val="en-US"/>
        </w:rPr>
        <w:t xml:space="preserve">, 2013; </w:t>
      </w:r>
      <w:proofErr w:type="spellStart"/>
      <w:r w:rsidRPr="00B80E79">
        <w:rPr>
          <w:szCs w:val="22"/>
          <w:lang w:val="en-US"/>
        </w:rPr>
        <w:t>Tiesdell</w:t>
      </w:r>
      <w:proofErr w:type="spellEnd"/>
      <w:r w:rsidRPr="00B80E79">
        <w:rPr>
          <w:szCs w:val="22"/>
          <w:lang w:val="en-US"/>
        </w:rPr>
        <w:t>, 2004).</w:t>
      </w:r>
    </w:p>
    <w:p w:rsidR="00B80E79" w:rsidRPr="00B80E79" w:rsidRDefault="00B80E79" w:rsidP="00B80E79">
      <w:pPr>
        <w:spacing w:before="120" w:after="120" w:line="360" w:lineRule="auto"/>
        <w:ind w:firstLine="708"/>
        <w:jc w:val="both"/>
        <w:rPr>
          <w:szCs w:val="22"/>
          <w:lang w:val="en-US"/>
        </w:rPr>
      </w:pPr>
      <w:r w:rsidRPr="00B80E79">
        <w:rPr>
          <w:szCs w:val="22"/>
          <w:lang w:val="en-US"/>
        </w:rPr>
        <w:t>A further issue has been the effect of affordable housing on neighborhood´s property values. Nguyen (2005) made a review of the literature on this issue and found that “the extent to which property values are lowered depends on a variety of factors: design and management of affordable housing, compatibility between affordable housing and host neighborhood, and concentration of affordable housing” (p. 15). Public opinion appears to be very sensitive, especially at local level, to this type of initiatives and many of them may fail before it even begins (</w:t>
      </w:r>
      <w:proofErr w:type="spellStart"/>
      <w:r w:rsidRPr="00B80E79">
        <w:rPr>
          <w:szCs w:val="22"/>
          <w:lang w:val="en-US"/>
        </w:rPr>
        <w:t>Tighe</w:t>
      </w:r>
      <w:proofErr w:type="spellEnd"/>
      <w:r w:rsidRPr="00B80E79">
        <w:rPr>
          <w:szCs w:val="22"/>
          <w:lang w:val="en-US"/>
        </w:rPr>
        <w:t>, 2010). That is why some authors have suggested the need to introduce in the US some mandatory regulations at the national level to overcome this opposition (</w:t>
      </w:r>
      <w:proofErr w:type="spellStart"/>
      <w:r w:rsidRPr="00B80E79">
        <w:rPr>
          <w:szCs w:val="22"/>
          <w:lang w:val="en-US"/>
        </w:rPr>
        <w:t>Lerman</w:t>
      </w:r>
      <w:proofErr w:type="spellEnd"/>
      <w:r w:rsidRPr="00B80E79">
        <w:rPr>
          <w:szCs w:val="22"/>
          <w:lang w:val="en-US"/>
        </w:rPr>
        <w:t xml:space="preserve">, 2006; </w:t>
      </w:r>
      <w:proofErr w:type="spellStart"/>
      <w:r w:rsidRPr="00B80E79">
        <w:rPr>
          <w:szCs w:val="22"/>
          <w:lang w:val="en-US"/>
        </w:rPr>
        <w:t>Calavita</w:t>
      </w:r>
      <w:proofErr w:type="spellEnd"/>
      <w:r w:rsidRPr="00B80E79">
        <w:rPr>
          <w:szCs w:val="22"/>
          <w:lang w:val="en-US"/>
        </w:rPr>
        <w:t xml:space="preserve"> &amp; </w:t>
      </w:r>
      <w:proofErr w:type="spellStart"/>
      <w:r w:rsidRPr="00B80E79">
        <w:rPr>
          <w:szCs w:val="22"/>
          <w:lang w:val="en-US"/>
        </w:rPr>
        <w:t>Mallach</w:t>
      </w:r>
      <w:proofErr w:type="spellEnd"/>
      <w:r w:rsidRPr="00B80E79">
        <w:rPr>
          <w:szCs w:val="22"/>
          <w:lang w:val="en-US"/>
        </w:rPr>
        <w:t xml:space="preserve">, 2009; </w:t>
      </w:r>
      <w:proofErr w:type="spellStart"/>
      <w:r w:rsidRPr="00B80E79">
        <w:rPr>
          <w:szCs w:val="22"/>
          <w:lang w:val="en-US"/>
        </w:rPr>
        <w:t>Brunick</w:t>
      </w:r>
      <w:proofErr w:type="spellEnd"/>
      <w:r w:rsidRPr="00B80E79">
        <w:rPr>
          <w:szCs w:val="22"/>
          <w:lang w:val="en-US"/>
        </w:rPr>
        <w:t>, 2004). Other authors have also analyzed the connections between housing affordability and planning policies in other countries; for instance, Sweden and Germany (Hansson, 2017) and Gaza (</w:t>
      </w:r>
      <w:proofErr w:type="spellStart"/>
      <w:r w:rsidRPr="00B80E79">
        <w:rPr>
          <w:szCs w:val="22"/>
          <w:lang w:val="en-US"/>
        </w:rPr>
        <w:t>Asfour</w:t>
      </w:r>
      <w:proofErr w:type="spellEnd"/>
      <w:r w:rsidRPr="00B80E79">
        <w:rPr>
          <w:szCs w:val="22"/>
          <w:lang w:val="en-US"/>
        </w:rPr>
        <w:t>, 2017).</w:t>
      </w:r>
    </w:p>
    <w:p w:rsidR="00B80E79" w:rsidRPr="00B80E79" w:rsidRDefault="00B80E79" w:rsidP="00B80E79">
      <w:pPr>
        <w:spacing w:before="120" w:after="120" w:line="360" w:lineRule="auto"/>
        <w:ind w:firstLine="708"/>
        <w:jc w:val="both"/>
        <w:rPr>
          <w:szCs w:val="22"/>
          <w:lang w:val="en-US"/>
        </w:rPr>
      </w:pPr>
      <w:r w:rsidRPr="00B80E79">
        <w:rPr>
          <w:szCs w:val="22"/>
          <w:lang w:val="en-US"/>
        </w:rPr>
        <w:t xml:space="preserve">In Spain, the social and political debate so far has been limited to the incidence of the provision of new affordable housing on the prices of market housing units </w:t>
      </w:r>
      <w:proofErr w:type="gramStart"/>
      <w:r w:rsidRPr="00B80E79">
        <w:rPr>
          <w:szCs w:val="22"/>
          <w:lang w:val="en-US"/>
        </w:rPr>
        <w:t>being put</w:t>
      </w:r>
      <w:proofErr w:type="gramEnd"/>
      <w:r w:rsidRPr="00B80E79">
        <w:rPr>
          <w:szCs w:val="22"/>
          <w:lang w:val="en-US"/>
        </w:rPr>
        <w:t xml:space="preserve"> simultaneously into the market. Developing and construction interests have claimed that affordable housing has contributed to the increase in housing prices of market units since lower benefits in the affordable housing sector must be compensated by higher </w:t>
      </w:r>
      <w:r w:rsidRPr="00B80E79">
        <w:rPr>
          <w:szCs w:val="22"/>
          <w:lang w:val="en-US"/>
        </w:rPr>
        <w:lastRenderedPageBreak/>
        <w:t>prices in the market-rate housing sector</w:t>
      </w:r>
      <w:r w:rsidRPr="00B80E79">
        <w:rPr>
          <w:szCs w:val="22"/>
          <w:vertAlign w:val="superscript"/>
          <w:lang w:val="en-US"/>
        </w:rPr>
        <w:footnoteReference w:id="1"/>
      </w:r>
      <w:r w:rsidRPr="00B80E79">
        <w:rPr>
          <w:szCs w:val="22"/>
          <w:lang w:val="en-US"/>
        </w:rPr>
        <w:t xml:space="preserve">. </w:t>
      </w:r>
      <w:proofErr w:type="gramStart"/>
      <w:r w:rsidRPr="00B80E79">
        <w:rPr>
          <w:szCs w:val="22"/>
          <w:lang w:val="en-US"/>
        </w:rPr>
        <w:t>This view has been supported also by academics: “What underlies [in the new Act] is the attempt to replace public funding of protected housing policies with an additional burden to be borne by landowners or promoters at first, but if the market is to grow again as it did in the past, this cost will be transferred to open market housing purchasers” (</w:t>
      </w:r>
      <w:proofErr w:type="spellStart"/>
      <w:r w:rsidRPr="00B80E79">
        <w:rPr>
          <w:szCs w:val="22"/>
          <w:lang w:val="en-US"/>
        </w:rPr>
        <w:t>García-Álvarez</w:t>
      </w:r>
      <w:proofErr w:type="spellEnd"/>
      <w:r w:rsidRPr="00B80E79">
        <w:rPr>
          <w:szCs w:val="22"/>
          <w:lang w:val="en-US"/>
        </w:rPr>
        <w:t xml:space="preserve"> </w:t>
      </w:r>
      <w:proofErr w:type="spellStart"/>
      <w:r w:rsidRPr="00B80E79">
        <w:rPr>
          <w:szCs w:val="22"/>
          <w:lang w:val="en-US"/>
        </w:rPr>
        <w:t>García</w:t>
      </w:r>
      <w:proofErr w:type="spellEnd"/>
      <w:r w:rsidRPr="00B80E79">
        <w:rPr>
          <w:szCs w:val="22"/>
          <w:lang w:val="en-US"/>
        </w:rPr>
        <w:t>, 2010, p. 396).</w:t>
      </w:r>
      <w:proofErr w:type="gramEnd"/>
    </w:p>
    <w:p w:rsidR="00B80E79" w:rsidRPr="00B80E79" w:rsidRDefault="00B80E79" w:rsidP="00B80E79">
      <w:pPr>
        <w:spacing w:before="120" w:after="120" w:line="360" w:lineRule="auto"/>
        <w:ind w:firstLine="708"/>
        <w:jc w:val="both"/>
        <w:rPr>
          <w:szCs w:val="22"/>
          <w:lang w:val="en-US"/>
        </w:rPr>
      </w:pPr>
      <w:r w:rsidRPr="00B80E79">
        <w:rPr>
          <w:szCs w:val="22"/>
          <w:lang w:val="en-US"/>
        </w:rPr>
        <w:t>On the contrary, affordable housing advocates in Spain have argued that construction of affordable housing does not affect the general level of housing market prices; quite the opposite, it may even push down general housing prices by increasing housing supply (</w:t>
      </w:r>
      <w:proofErr w:type="spellStart"/>
      <w:r w:rsidRPr="00B80E79">
        <w:rPr>
          <w:szCs w:val="22"/>
          <w:lang w:val="en-US"/>
        </w:rPr>
        <w:t>Burón</w:t>
      </w:r>
      <w:proofErr w:type="spellEnd"/>
      <w:r w:rsidRPr="00B80E79">
        <w:rPr>
          <w:szCs w:val="22"/>
          <w:lang w:val="en-US"/>
        </w:rPr>
        <w:t xml:space="preserve"> </w:t>
      </w:r>
      <w:proofErr w:type="spellStart"/>
      <w:r w:rsidRPr="00B80E79">
        <w:rPr>
          <w:szCs w:val="22"/>
          <w:lang w:val="en-US"/>
        </w:rPr>
        <w:t>Cuadrado</w:t>
      </w:r>
      <w:proofErr w:type="spellEnd"/>
      <w:r w:rsidRPr="00B80E79">
        <w:rPr>
          <w:szCs w:val="22"/>
          <w:lang w:val="en-US"/>
        </w:rPr>
        <w:t xml:space="preserve">, 2006, 2008; </w:t>
      </w:r>
      <w:proofErr w:type="spellStart"/>
      <w:r w:rsidRPr="00B80E79">
        <w:rPr>
          <w:szCs w:val="22"/>
          <w:lang w:val="en-US"/>
        </w:rPr>
        <w:t>García</w:t>
      </w:r>
      <w:proofErr w:type="spellEnd"/>
      <w:r w:rsidRPr="00B80E79">
        <w:rPr>
          <w:szCs w:val="22"/>
          <w:lang w:val="en-US"/>
        </w:rPr>
        <w:t xml:space="preserve"> Montalvo, 1999, 2004; Roca, 2008, 2010; Roger 2010).</w:t>
      </w:r>
    </w:p>
    <w:p w:rsidR="00B80E79" w:rsidRPr="00B80E79" w:rsidRDefault="00B80E79" w:rsidP="00B80E79">
      <w:pPr>
        <w:spacing w:before="120" w:after="120" w:line="360" w:lineRule="auto"/>
        <w:ind w:firstLine="708"/>
        <w:jc w:val="both"/>
        <w:rPr>
          <w:szCs w:val="22"/>
          <w:lang w:val="en-US"/>
        </w:rPr>
      </w:pPr>
      <w:r w:rsidRPr="00B80E79">
        <w:rPr>
          <w:szCs w:val="22"/>
          <w:lang w:val="en-US"/>
        </w:rPr>
        <w:t xml:space="preserve">The argument to support this position is that, as most studies on the Spanish housing market have shown, prices </w:t>
      </w:r>
      <w:proofErr w:type="gramStart"/>
      <w:r w:rsidRPr="00B80E79">
        <w:rPr>
          <w:szCs w:val="22"/>
          <w:lang w:val="en-US"/>
        </w:rPr>
        <w:t>are driven</w:t>
      </w:r>
      <w:proofErr w:type="gramEnd"/>
      <w:r w:rsidRPr="00B80E79">
        <w:rPr>
          <w:szCs w:val="22"/>
          <w:lang w:val="en-US"/>
        </w:rPr>
        <w:t xml:space="preserve"> primarily by demand factors (Esteban &amp; Altuzarra, 2008). If that´s so, a rational developer will charge the maximum price demand can pay, and thus will be unable to pass along any other costs imposed by the requirement to produce below-market housing units. In fact, the “costs” of affordable housing result in lower land prices and/or lower benefits of developers, but as </w:t>
      </w:r>
      <w:proofErr w:type="spellStart"/>
      <w:r w:rsidRPr="00B80E79">
        <w:rPr>
          <w:szCs w:val="22"/>
          <w:lang w:val="en-US"/>
        </w:rPr>
        <w:t>Burón</w:t>
      </w:r>
      <w:proofErr w:type="spellEnd"/>
      <w:r w:rsidRPr="00B80E79">
        <w:rPr>
          <w:szCs w:val="22"/>
          <w:lang w:val="en-US"/>
        </w:rPr>
        <w:t xml:space="preserve"> </w:t>
      </w:r>
      <w:proofErr w:type="spellStart"/>
      <w:r w:rsidRPr="00B80E79">
        <w:rPr>
          <w:szCs w:val="22"/>
          <w:lang w:val="en-US"/>
        </w:rPr>
        <w:t>Cuadrado</w:t>
      </w:r>
      <w:proofErr w:type="spellEnd"/>
      <w:r w:rsidRPr="00B80E79">
        <w:rPr>
          <w:szCs w:val="22"/>
          <w:lang w:val="en-US"/>
        </w:rPr>
        <w:t xml:space="preserve"> (2006) points out developers still find it profitable to produce housing in these conditions.</w:t>
      </w:r>
    </w:p>
    <w:p w:rsidR="00B80E79" w:rsidRPr="00B80E79" w:rsidRDefault="00B80E79" w:rsidP="00B80E79">
      <w:pPr>
        <w:spacing w:before="120" w:after="120" w:line="360" w:lineRule="auto"/>
        <w:ind w:firstLine="708"/>
        <w:jc w:val="both"/>
        <w:rPr>
          <w:szCs w:val="22"/>
          <w:lang w:val="en-US"/>
        </w:rPr>
      </w:pPr>
      <w:r w:rsidRPr="00B80E79">
        <w:rPr>
          <w:szCs w:val="22"/>
          <w:lang w:val="en-US"/>
        </w:rPr>
        <w:t>The same controversy can also been found between different political parties. The conservative party (</w:t>
      </w:r>
      <w:proofErr w:type="spellStart"/>
      <w:r w:rsidRPr="00B80E79">
        <w:rPr>
          <w:szCs w:val="22"/>
          <w:lang w:val="en-US"/>
        </w:rPr>
        <w:t>Partido</w:t>
      </w:r>
      <w:proofErr w:type="spellEnd"/>
      <w:r w:rsidRPr="00B80E79">
        <w:rPr>
          <w:szCs w:val="22"/>
          <w:lang w:val="en-US"/>
        </w:rPr>
        <w:t xml:space="preserve"> Popular) defended that the new Land Act (approved in 2008 by a socialist majority) that increased the share of affordable housing in new and in-fill developments would eventually led to an increase of 20-30% in the price of free market housing</w:t>
      </w:r>
      <w:r w:rsidRPr="00B80E79">
        <w:rPr>
          <w:szCs w:val="22"/>
          <w:vertAlign w:val="superscript"/>
          <w:lang w:val="en-US"/>
        </w:rPr>
        <w:footnoteReference w:id="2"/>
      </w:r>
      <w:r w:rsidRPr="00B80E79">
        <w:rPr>
          <w:szCs w:val="22"/>
          <w:lang w:val="en-US"/>
        </w:rPr>
        <w:t xml:space="preserve">. However, it </w:t>
      </w:r>
      <w:proofErr w:type="gramStart"/>
      <w:r w:rsidRPr="00B80E79">
        <w:rPr>
          <w:szCs w:val="22"/>
          <w:lang w:val="en-US"/>
        </w:rPr>
        <w:t>should be noted</w:t>
      </w:r>
      <w:proofErr w:type="gramEnd"/>
      <w:r w:rsidRPr="00B80E79">
        <w:rPr>
          <w:szCs w:val="22"/>
          <w:lang w:val="en-US"/>
        </w:rPr>
        <w:t xml:space="preserve"> that in 2013, the conservative government, with absolute majority in Parliament at the time, approved an optional four-year derogation of this obligation in those regions with a high level of unsold new affordable housing units but maintained the regulation for future developments.</w:t>
      </w:r>
    </w:p>
    <w:p w:rsidR="00B80E79" w:rsidRPr="00B80E79" w:rsidRDefault="00B80E79" w:rsidP="00B80E79">
      <w:pPr>
        <w:spacing w:before="120" w:after="120" w:line="360" w:lineRule="auto"/>
        <w:ind w:firstLine="708"/>
        <w:jc w:val="both"/>
        <w:rPr>
          <w:szCs w:val="22"/>
          <w:lang w:val="en-US"/>
        </w:rPr>
      </w:pPr>
      <w:r w:rsidRPr="00B80E79">
        <w:rPr>
          <w:szCs w:val="22"/>
          <w:lang w:val="en-US"/>
        </w:rPr>
        <w:lastRenderedPageBreak/>
        <w:t xml:space="preserve">The aim of this paper is </w:t>
      </w:r>
      <w:proofErr w:type="gramStart"/>
      <w:r w:rsidRPr="00B80E79">
        <w:rPr>
          <w:szCs w:val="22"/>
          <w:lang w:val="en-US"/>
        </w:rPr>
        <w:t>to empirically determine</w:t>
      </w:r>
      <w:proofErr w:type="gramEnd"/>
      <w:r w:rsidRPr="00B80E79">
        <w:rPr>
          <w:szCs w:val="22"/>
          <w:lang w:val="en-US"/>
        </w:rPr>
        <w:t xml:space="preserve"> the influence of land use policies promoting affordable housing on the price of market housing units</w:t>
      </w:r>
      <w:r w:rsidRPr="00B80E79">
        <w:rPr>
          <w:rStyle w:val="Refdenotaalpie"/>
          <w:szCs w:val="22"/>
        </w:rPr>
        <w:footnoteReference w:id="3"/>
      </w:r>
      <w:r w:rsidRPr="00B80E79">
        <w:rPr>
          <w:szCs w:val="22"/>
          <w:lang w:val="en-US"/>
        </w:rPr>
        <w:t xml:space="preserve"> in Spain. More precisely, we attempt to estimate the effect of the ratio of new affordable dwellings-to-total new dwellings on housing market prices. To the best of our </w:t>
      </w:r>
      <w:proofErr w:type="gramStart"/>
      <w:r w:rsidRPr="00B80E79">
        <w:rPr>
          <w:szCs w:val="22"/>
          <w:lang w:val="en-US"/>
        </w:rPr>
        <w:t>knowledge</w:t>
      </w:r>
      <w:proofErr w:type="gramEnd"/>
      <w:r w:rsidRPr="00B80E79">
        <w:rPr>
          <w:szCs w:val="22"/>
          <w:lang w:val="en-US"/>
        </w:rPr>
        <w:t xml:space="preserve"> this is the first time that this issue is investigated in the Spanish housing market. In sum, this paper provides empirical evidence by tackling several questions: does affordable housing have an influence on housing market prices? If so, what is the direction of this effect? Does affordable housing boosts housing market prices or on the contrary, reduces them? What policy recommendations </w:t>
      </w:r>
      <w:proofErr w:type="gramStart"/>
      <w:r w:rsidRPr="00B80E79">
        <w:rPr>
          <w:szCs w:val="22"/>
          <w:lang w:val="en-US"/>
        </w:rPr>
        <w:t>can be drawn</w:t>
      </w:r>
      <w:proofErr w:type="gramEnd"/>
      <w:r w:rsidRPr="00B80E79">
        <w:rPr>
          <w:szCs w:val="22"/>
          <w:lang w:val="en-US"/>
        </w:rPr>
        <w:t xml:space="preserve"> from the empirical results? </w:t>
      </w:r>
    </w:p>
    <w:p w:rsidR="00B80E79" w:rsidRPr="00B80E79" w:rsidRDefault="00B80E79" w:rsidP="00B80E79">
      <w:pPr>
        <w:spacing w:before="120" w:after="120" w:line="360" w:lineRule="auto"/>
        <w:ind w:firstLine="708"/>
        <w:jc w:val="both"/>
        <w:rPr>
          <w:szCs w:val="22"/>
          <w:lang w:val="en-US"/>
        </w:rPr>
      </w:pPr>
      <w:r w:rsidRPr="00B80E79">
        <w:rPr>
          <w:szCs w:val="22"/>
          <w:lang w:val="en-US"/>
        </w:rPr>
        <w:t xml:space="preserve">The rest of the paper </w:t>
      </w:r>
      <w:proofErr w:type="gramStart"/>
      <w:r w:rsidRPr="00B80E79">
        <w:rPr>
          <w:szCs w:val="22"/>
          <w:lang w:val="en-US"/>
        </w:rPr>
        <w:t>is organized</w:t>
      </w:r>
      <w:proofErr w:type="gramEnd"/>
      <w:r w:rsidRPr="00B80E79">
        <w:rPr>
          <w:szCs w:val="22"/>
          <w:lang w:val="en-US"/>
        </w:rPr>
        <w:t xml:space="preserve"> as follows. In the next </w:t>
      </w:r>
      <w:proofErr w:type="gramStart"/>
      <w:r w:rsidRPr="00B80E79">
        <w:rPr>
          <w:szCs w:val="22"/>
          <w:lang w:val="en-US"/>
        </w:rPr>
        <w:t>section</w:t>
      </w:r>
      <w:proofErr w:type="gramEnd"/>
      <w:r w:rsidRPr="00B80E79">
        <w:rPr>
          <w:szCs w:val="22"/>
          <w:lang w:val="en-US"/>
        </w:rPr>
        <w:t xml:space="preserve"> we discuss land use and housing policies for the provision of affordable housing in Spain in the last decades. Section 3 presents the data used in the empirical analysis. Section 4 explains the econometric strategy. Section 5 shows and discusses the results and in section </w:t>
      </w:r>
      <w:proofErr w:type="gramStart"/>
      <w:r w:rsidRPr="00B80E79">
        <w:rPr>
          <w:szCs w:val="22"/>
          <w:lang w:val="en-US"/>
        </w:rPr>
        <w:t>6</w:t>
      </w:r>
      <w:proofErr w:type="gramEnd"/>
      <w:r w:rsidRPr="00B80E79">
        <w:rPr>
          <w:szCs w:val="22"/>
          <w:lang w:val="en-US"/>
        </w:rPr>
        <w:t xml:space="preserve"> we draw the main conclusion of our work.</w:t>
      </w:r>
    </w:p>
    <w:p w:rsidR="00B80E79" w:rsidRPr="00B80E79" w:rsidRDefault="00B80E79" w:rsidP="00B80E79">
      <w:pPr>
        <w:spacing w:before="120" w:after="120" w:line="360" w:lineRule="auto"/>
        <w:jc w:val="both"/>
        <w:rPr>
          <w:szCs w:val="22"/>
          <w:lang w:val="en-US"/>
        </w:rPr>
      </w:pPr>
    </w:p>
    <w:p w:rsidR="00B80E79" w:rsidRPr="00B80E79" w:rsidRDefault="00B80E79" w:rsidP="00B80E79">
      <w:pPr>
        <w:spacing w:before="120" w:after="120" w:line="360" w:lineRule="auto"/>
        <w:jc w:val="both"/>
        <w:rPr>
          <w:b/>
          <w:szCs w:val="22"/>
          <w:lang w:val="en-US"/>
        </w:rPr>
      </w:pPr>
      <w:r w:rsidRPr="00B80E79">
        <w:rPr>
          <w:b/>
          <w:szCs w:val="22"/>
          <w:lang w:val="en-US"/>
        </w:rPr>
        <w:t>Affordable housing provision in Spain</w:t>
      </w:r>
    </w:p>
    <w:p w:rsidR="00B80E79" w:rsidRPr="00B80E79" w:rsidRDefault="00B80E79" w:rsidP="00B80E79">
      <w:pPr>
        <w:spacing w:before="120" w:after="120" w:line="360" w:lineRule="auto"/>
        <w:jc w:val="both"/>
        <w:rPr>
          <w:szCs w:val="22"/>
          <w:lang w:val="en-US"/>
        </w:rPr>
      </w:pPr>
      <w:r w:rsidRPr="00B80E79">
        <w:rPr>
          <w:szCs w:val="22"/>
          <w:lang w:val="en-US"/>
        </w:rPr>
        <w:t xml:space="preserve">In </w:t>
      </w:r>
      <w:proofErr w:type="gramStart"/>
      <w:r w:rsidRPr="00B80E79">
        <w:rPr>
          <w:szCs w:val="22"/>
          <w:lang w:val="en-US"/>
        </w:rPr>
        <w:t>Spain</w:t>
      </w:r>
      <w:proofErr w:type="gramEnd"/>
      <w:r w:rsidRPr="00B80E79">
        <w:rPr>
          <w:szCs w:val="22"/>
          <w:lang w:val="en-US"/>
        </w:rPr>
        <w:t xml:space="preserve"> the right to housing is a constitutional mandate. Article 47 of the 1978 Constitution establishes that “All Spanish citizens have the right to enjoy a decent and adequate housing. Public authorities shall promote the necessary conditions and establish appropriate rules to uphold this right, regulating the use of land in accordance with the general interest to prevent speculation”. Yet, housing affordability continues to be a major problem for many Spanish citizens (Leal Maldonado, 2010; </w:t>
      </w:r>
      <w:proofErr w:type="spellStart"/>
      <w:r w:rsidRPr="00B80E79">
        <w:rPr>
          <w:szCs w:val="22"/>
          <w:lang w:val="en-US"/>
        </w:rPr>
        <w:t>Alguacil</w:t>
      </w:r>
      <w:proofErr w:type="spellEnd"/>
      <w:r w:rsidRPr="00B80E79">
        <w:rPr>
          <w:szCs w:val="22"/>
          <w:lang w:val="en-US"/>
        </w:rPr>
        <w:t xml:space="preserve"> et al. 2013).</w:t>
      </w:r>
    </w:p>
    <w:p w:rsidR="00B80E79" w:rsidRPr="00B80E79" w:rsidRDefault="00B80E79" w:rsidP="00B80E79">
      <w:pPr>
        <w:spacing w:before="120" w:after="120" w:line="360" w:lineRule="auto"/>
        <w:ind w:firstLine="708"/>
        <w:jc w:val="both"/>
        <w:rPr>
          <w:szCs w:val="22"/>
          <w:lang w:val="en-US"/>
        </w:rPr>
      </w:pPr>
      <w:r w:rsidRPr="00B80E79">
        <w:rPr>
          <w:szCs w:val="22"/>
          <w:lang w:val="en-US"/>
        </w:rPr>
        <w:t xml:space="preserve">Spanish housing policy has its roots in the Francoist period and its main characteristics have remained relatively stable since that time. In fact, Spain has never had a genuine social housing policy of the type developed by Northern European countries. Until </w:t>
      </w:r>
      <w:proofErr w:type="gramStart"/>
      <w:r w:rsidRPr="00B80E79">
        <w:rPr>
          <w:szCs w:val="22"/>
          <w:lang w:val="en-US"/>
        </w:rPr>
        <w:t>recently</w:t>
      </w:r>
      <w:proofErr w:type="gramEnd"/>
      <w:r w:rsidRPr="00B80E79">
        <w:rPr>
          <w:szCs w:val="22"/>
          <w:lang w:val="en-US"/>
        </w:rPr>
        <w:t xml:space="preserve"> housing policies have been shaped more by a desire to stimulate the economy than by a social policy concern (</w:t>
      </w:r>
      <w:proofErr w:type="spellStart"/>
      <w:r w:rsidRPr="00B80E79">
        <w:rPr>
          <w:szCs w:val="22"/>
          <w:lang w:val="en-US"/>
        </w:rPr>
        <w:t>Trilla</w:t>
      </w:r>
      <w:proofErr w:type="spellEnd"/>
      <w:r w:rsidRPr="00B80E79">
        <w:rPr>
          <w:szCs w:val="22"/>
          <w:lang w:val="en-US"/>
        </w:rPr>
        <w:t xml:space="preserve">, 2001; Hoekstra, Heras </w:t>
      </w:r>
      <w:proofErr w:type="spellStart"/>
      <w:r w:rsidRPr="00B80E79">
        <w:rPr>
          <w:szCs w:val="22"/>
          <w:lang w:val="en-US"/>
        </w:rPr>
        <w:t>Saizarbitoria</w:t>
      </w:r>
      <w:proofErr w:type="spellEnd"/>
      <w:r w:rsidRPr="00B80E79">
        <w:rPr>
          <w:szCs w:val="22"/>
          <w:lang w:val="en-US"/>
        </w:rPr>
        <w:t xml:space="preserve"> &amp; </w:t>
      </w:r>
      <w:proofErr w:type="spellStart"/>
      <w:r w:rsidRPr="00B80E79">
        <w:rPr>
          <w:szCs w:val="22"/>
          <w:lang w:val="en-US"/>
        </w:rPr>
        <w:t>Etxezarreta</w:t>
      </w:r>
      <w:proofErr w:type="spellEnd"/>
      <w:r w:rsidRPr="00B80E79">
        <w:rPr>
          <w:szCs w:val="22"/>
          <w:lang w:val="en-US"/>
        </w:rPr>
        <w:t>, 2010; Esteban &amp; Altuzarra, 2014).</w:t>
      </w:r>
    </w:p>
    <w:p w:rsidR="00B80E79" w:rsidRPr="00B80E79" w:rsidRDefault="00B80E79" w:rsidP="00B80E79">
      <w:pPr>
        <w:spacing w:before="120" w:after="120" w:line="360" w:lineRule="auto"/>
        <w:ind w:firstLine="708"/>
        <w:jc w:val="both"/>
        <w:rPr>
          <w:szCs w:val="22"/>
          <w:lang w:val="en-US"/>
        </w:rPr>
      </w:pPr>
      <w:r w:rsidRPr="00B80E79">
        <w:rPr>
          <w:szCs w:val="22"/>
          <w:lang w:val="en-US"/>
        </w:rPr>
        <w:lastRenderedPageBreak/>
        <w:t xml:space="preserve">Spanish housing policies have mainly delivered subsidized owner-occupied housing, even for low and medium income families. Only in the last </w:t>
      </w:r>
      <w:proofErr w:type="gramStart"/>
      <w:r w:rsidRPr="00B80E79">
        <w:rPr>
          <w:szCs w:val="22"/>
          <w:lang w:val="en-US"/>
        </w:rPr>
        <w:t>decade</w:t>
      </w:r>
      <w:proofErr w:type="gramEnd"/>
      <w:r w:rsidRPr="00B80E79">
        <w:rPr>
          <w:szCs w:val="22"/>
          <w:lang w:val="en-US"/>
        </w:rPr>
        <w:t xml:space="preserve"> some regional governments have started to develop a strategy towards the provision of affordable rented housing for the lowest income groups (Leal Maldonado, 2010). The last National Housing Plan 2013-2016</w:t>
      </w:r>
      <w:r w:rsidRPr="00B80E79">
        <w:rPr>
          <w:szCs w:val="22"/>
          <w:vertAlign w:val="superscript"/>
          <w:lang w:val="en-US"/>
        </w:rPr>
        <w:footnoteReference w:id="4"/>
      </w:r>
      <w:r w:rsidRPr="00B80E79">
        <w:rPr>
          <w:szCs w:val="22"/>
          <w:lang w:val="en-US"/>
        </w:rPr>
        <w:t xml:space="preserve"> seems to have given at last the political priority to affordable housing for rent, together with the rehabilitation of the existing housing stock (Esteban &amp; Altuzarra, 2014). Yet, the scope of this initiative has been rather limited so far due to budgetary restrictions.</w:t>
      </w:r>
    </w:p>
    <w:p w:rsidR="00B80E79" w:rsidRPr="00B80E79" w:rsidRDefault="00B80E79" w:rsidP="00B80E79">
      <w:pPr>
        <w:spacing w:before="120" w:after="120" w:line="360" w:lineRule="auto"/>
        <w:ind w:firstLine="708"/>
        <w:jc w:val="both"/>
        <w:rPr>
          <w:szCs w:val="22"/>
          <w:lang w:val="en-US"/>
        </w:rPr>
      </w:pPr>
      <w:r w:rsidRPr="00B80E79">
        <w:rPr>
          <w:szCs w:val="22"/>
          <w:lang w:val="en-US"/>
        </w:rPr>
        <w:t>Spain has a long tradition of providing subsidized owner-occupied housing, referred to as VPO (</w:t>
      </w:r>
      <w:proofErr w:type="spellStart"/>
      <w:r w:rsidRPr="00B80E79">
        <w:rPr>
          <w:szCs w:val="22"/>
          <w:lang w:val="en-US"/>
        </w:rPr>
        <w:t>Viviendas</w:t>
      </w:r>
      <w:proofErr w:type="spellEnd"/>
      <w:r w:rsidRPr="00B80E79">
        <w:rPr>
          <w:szCs w:val="22"/>
          <w:lang w:val="en-US"/>
        </w:rPr>
        <w:t xml:space="preserve"> de </w:t>
      </w:r>
      <w:proofErr w:type="spellStart"/>
      <w:r w:rsidRPr="00B80E79">
        <w:rPr>
          <w:szCs w:val="22"/>
          <w:lang w:val="en-US"/>
        </w:rPr>
        <w:t>Protección</w:t>
      </w:r>
      <w:proofErr w:type="spellEnd"/>
      <w:r w:rsidRPr="00B80E79">
        <w:rPr>
          <w:szCs w:val="22"/>
          <w:lang w:val="en-US"/>
        </w:rPr>
        <w:t xml:space="preserve"> </w:t>
      </w:r>
      <w:proofErr w:type="spellStart"/>
      <w:r w:rsidRPr="00B80E79">
        <w:rPr>
          <w:szCs w:val="22"/>
          <w:lang w:val="en-US"/>
        </w:rPr>
        <w:t>Oficial</w:t>
      </w:r>
      <w:proofErr w:type="spellEnd"/>
      <w:r w:rsidRPr="00B80E79">
        <w:rPr>
          <w:szCs w:val="22"/>
          <w:lang w:val="en-US"/>
        </w:rPr>
        <w:t xml:space="preserve"> – Officially Protected Housing) (</w:t>
      </w:r>
      <w:proofErr w:type="gramStart"/>
      <w:r w:rsidRPr="00B80E79">
        <w:rPr>
          <w:szCs w:val="22"/>
          <w:lang w:val="en-US"/>
        </w:rPr>
        <w:t>thereafter affordable</w:t>
      </w:r>
      <w:proofErr w:type="gramEnd"/>
      <w:r w:rsidRPr="00B80E79">
        <w:rPr>
          <w:szCs w:val="22"/>
          <w:lang w:val="en-US"/>
        </w:rPr>
        <w:t xml:space="preserve"> housing). The concept of affordable housing has undergone changes over time and different types of affordable housing </w:t>
      </w:r>
      <w:proofErr w:type="gramStart"/>
      <w:r w:rsidRPr="00B80E79">
        <w:rPr>
          <w:szCs w:val="22"/>
          <w:lang w:val="en-US"/>
        </w:rPr>
        <w:t>have been created</w:t>
      </w:r>
      <w:proofErr w:type="gramEnd"/>
      <w:r w:rsidRPr="00B80E79">
        <w:rPr>
          <w:szCs w:val="22"/>
          <w:lang w:val="en-US"/>
        </w:rPr>
        <w:t xml:space="preserve"> targeted at different income groups. Some of these dwellings have been produced directly by public institutions or non-profit organizations, but </w:t>
      </w:r>
      <w:proofErr w:type="gramStart"/>
      <w:r w:rsidRPr="00B80E79">
        <w:rPr>
          <w:szCs w:val="22"/>
          <w:lang w:val="en-US"/>
        </w:rPr>
        <w:t>the vast majority of affordable housing has been produced by profit-oriented private developers</w:t>
      </w:r>
      <w:proofErr w:type="gramEnd"/>
      <w:r w:rsidRPr="00B80E79">
        <w:rPr>
          <w:szCs w:val="22"/>
          <w:lang w:val="en-US"/>
        </w:rPr>
        <w:t xml:space="preserve">. Affordable dwellings </w:t>
      </w:r>
      <w:proofErr w:type="gramStart"/>
      <w:r w:rsidRPr="00B80E79">
        <w:rPr>
          <w:szCs w:val="22"/>
          <w:lang w:val="en-US"/>
        </w:rPr>
        <w:t>are sold</w:t>
      </w:r>
      <w:proofErr w:type="gramEnd"/>
      <w:r w:rsidRPr="00B80E79">
        <w:rPr>
          <w:szCs w:val="22"/>
          <w:lang w:val="en-US"/>
        </w:rPr>
        <w:t xml:space="preserve"> in the market at regulated prices below market levels to households that qualify for them (maximum income levels, social conditions…). In compensation, private developers can apply for loans with interest rates below the market rate (subsidized from public finance), but, as the Ombudsman of the Basque region has noted, they have to limit their profits (</w:t>
      </w:r>
      <w:proofErr w:type="spellStart"/>
      <w:r w:rsidRPr="00B80E79">
        <w:rPr>
          <w:szCs w:val="22"/>
          <w:lang w:val="en-US"/>
        </w:rPr>
        <w:t>Ararteko</w:t>
      </w:r>
      <w:proofErr w:type="spellEnd"/>
      <w:r w:rsidRPr="00B80E79">
        <w:rPr>
          <w:szCs w:val="22"/>
          <w:lang w:val="en-US"/>
        </w:rPr>
        <w:t>, 2007).</w:t>
      </w:r>
    </w:p>
    <w:p w:rsidR="00B80E79" w:rsidRPr="00B80E79" w:rsidRDefault="00B80E79" w:rsidP="00B80E79">
      <w:pPr>
        <w:spacing w:before="120" w:after="120" w:line="360" w:lineRule="auto"/>
        <w:ind w:firstLine="708"/>
        <w:jc w:val="both"/>
        <w:rPr>
          <w:szCs w:val="22"/>
          <w:lang w:val="en-US"/>
        </w:rPr>
      </w:pPr>
      <w:proofErr w:type="gramStart"/>
      <w:r w:rsidRPr="00B80E79">
        <w:rPr>
          <w:szCs w:val="22"/>
          <w:lang w:val="en-US"/>
        </w:rPr>
        <w:t>However in periods of high and increasing demand, these housing policy initiatives did not ensure the provision of affordable housing in sufficient numbers to meet the demand, since public resources to provide affordable housing have been limited and private developers could choose to operate only in the open housing market, and abandon the affordable sector, if economic and social conditions allowed them to.</w:t>
      </w:r>
      <w:proofErr w:type="gramEnd"/>
      <w:r w:rsidRPr="00B80E79">
        <w:rPr>
          <w:szCs w:val="22"/>
          <w:lang w:val="en-US"/>
        </w:rPr>
        <w:t xml:space="preserve"> Thus, several regions began to introduce changes into urban planning regulations to oblige private developers to produce a certain amount of affordable housing.</w:t>
      </w:r>
    </w:p>
    <w:p w:rsidR="00B80E79" w:rsidRPr="00B80E79" w:rsidRDefault="00B80E79" w:rsidP="00B80E79">
      <w:pPr>
        <w:spacing w:before="120" w:after="120" w:line="360" w:lineRule="auto"/>
        <w:ind w:firstLine="708"/>
        <w:jc w:val="both"/>
        <w:rPr>
          <w:szCs w:val="22"/>
          <w:lang w:val="en-US"/>
        </w:rPr>
      </w:pPr>
      <w:r w:rsidRPr="00B80E79">
        <w:rPr>
          <w:szCs w:val="22"/>
          <w:lang w:val="en-US"/>
        </w:rPr>
        <w:t xml:space="preserve">Thus, since the early 1990´s land use regulations in some regions in Spain have required private developers of market-rate residential developments to set aside a </w:t>
      </w:r>
      <w:r w:rsidRPr="00B80E79">
        <w:rPr>
          <w:szCs w:val="22"/>
          <w:lang w:val="en-US"/>
        </w:rPr>
        <w:lastRenderedPageBreak/>
        <w:t>portion of their units for households unable to afford housing in the open market. The share of affordable housing in new and in-fill developments depends on the Region´s regulations and shows wide variations across Autonomous Communities. Yet, the proportion has been increasing over time. Recently, as a response to skyrocketing of housing prices leading to sharp affordability problems, the 2008 Land Act has established that all urban plans must set aside a minimum of 30% of residential land for affordable housing in new residential developments and 10% in in-fill developments. However, several regions have approved higher ratios that reach a maximum of 40 to 75%, for example, in the case of the Basque Country (</w:t>
      </w:r>
      <w:proofErr w:type="spellStart"/>
      <w:r w:rsidRPr="00B80E79">
        <w:rPr>
          <w:szCs w:val="22"/>
          <w:lang w:val="en-US"/>
        </w:rPr>
        <w:t>García-Álvarez</w:t>
      </w:r>
      <w:proofErr w:type="spellEnd"/>
      <w:r w:rsidRPr="00B80E79">
        <w:rPr>
          <w:szCs w:val="22"/>
          <w:lang w:val="en-US"/>
        </w:rPr>
        <w:t xml:space="preserve"> </w:t>
      </w:r>
      <w:proofErr w:type="spellStart"/>
      <w:r w:rsidRPr="00B80E79">
        <w:rPr>
          <w:szCs w:val="22"/>
          <w:lang w:val="en-US"/>
        </w:rPr>
        <w:t>García</w:t>
      </w:r>
      <w:proofErr w:type="spellEnd"/>
      <w:r w:rsidRPr="00B80E79">
        <w:rPr>
          <w:szCs w:val="22"/>
          <w:lang w:val="en-US"/>
        </w:rPr>
        <w:t xml:space="preserve">, 2010; </w:t>
      </w:r>
      <w:proofErr w:type="spellStart"/>
      <w:r w:rsidRPr="00B80E79">
        <w:rPr>
          <w:szCs w:val="22"/>
          <w:lang w:val="en-US"/>
        </w:rPr>
        <w:t>Burón</w:t>
      </w:r>
      <w:proofErr w:type="spellEnd"/>
      <w:r w:rsidRPr="00B80E79">
        <w:rPr>
          <w:szCs w:val="22"/>
          <w:lang w:val="en-US"/>
        </w:rPr>
        <w:t xml:space="preserve"> </w:t>
      </w:r>
      <w:proofErr w:type="spellStart"/>
      <w:r w:rsidRPr="00B80E79">
        <w:rPr>
          <w:szCs w:val="22"/>
          <w:lang w:val="en-US"/>
        </w:rPr>
        <w:t>Cuadrado</w:t>
      </w:r>
      <w:proofErr w:type="spellEnd"/>
      <w:r w:rsidRPr="00B80E79">
        <w:rPr>
          <w:szCs w:val="22"/>
          <w:lang w:val="en-US"/>
        </w:rPr>
        <w:t>, 2006).</w:t>
      </w:r>
    </w:p>
    <w:p w:rsidR="00B80E79" w:rsidRPr="00B80E79" w:rsidRDefault="00B80E79" w:rsidP="00B80E79">
      <w:pPr>
        <w:spacing w:before="120" w:after="120" w:line="360" w:lineRule="auto"/>
        <w:ind w:firstLine="708"/>
        <w:jc w:val="both"/>
        <w:rPr>
          <w:szCs w:val="22"/>
          <w:lang w:val="en-US"/>
        </w:rPr>
      </w:pPr>
      <w:r w:rsidRPr="00B80E79">
        <w:rPr>
          <w:szCs w:val="22"/>
          <w:lang w:val="en-US"/>
        </w:rPr>
        <w:t xml:space="preserve">Similar planning strategies to provide affordable housing </w:t>
      </w:r>
      <w:proofErr w:type="gramStart"/>
      <w:r w:rsidRPr="00B80E79">
        <w:rPr>
          <w:szCs w:val="22"/>
          <w:lang w:val="en-US"/>
        </w:rPr>
        <w:t>can be found</w:t>
      </w:r>
      <w:proofErr w:type="gramEnd"/>
      <w:r w:rsidRPr="00B80E79">
        <w:rPr>
          <w:szCs w:val="22"/>
          <w:lang w:val="en-US"/>
        </w:rPr>
        <w:t xml:space="preserve"> in other countries with different denominations: Inclusionary Housing Programs in the US, Affordable Housing Strategies in the US, UK, Australia, New Zealand, France, Italy or Canada (</w:t>
      </w:r>
      <w:proofErr w:type="spellStart"/>
      <w:r w:rsidRPr="00B80E79">
        <w:rPr>
          <w:szCs w:val="22"/>
          <w:lang w:val="en-US"/>
        </w:rPr>
        <w:t>Calavita</w:t>
      </w:r>
      <w:proofErr w:type="spellEnd"/>
      <w:r w:rsidRPr="00B80E79">
        <w:rPr>
          <w:szCs w:val="22"/>
          <w:lang w:val="en-US"/>
        </w:rPr>
        <w:t xml:space="preserve"> &amp; </w:t>
      </w:r>
      <w:proofErr w:type="spellStart"/>
      <w:r w:rsidRPr="00B80E79">
        <w:rPr>
          <w:szCs w:val="22"/>
          <w:lang w:val="en-US"/>
        </w:rPr>
        <w:t>Mallach</w:t>
      </w:r>
      <w:proofErr w:type="spellEnd"/>
      <w:r w:rsidRPr="00B80E79">
        <w:rPr>
          <w:szCs w:val="22"/>
          <w:lang w:val="en-US"/>
        </w:rPr>
        <w:t xml:space="preserve">, 2009; Paris, 2007; Whitehead, 2007; </w:t>
      </w:r>
      <w:proofErr w:type="spellStart"/>
      <w:r w:rsidRPr="00B80E79">
        <w:rPr>
          <w:szCs w:val="22"/>
          <w:lang w:val="en-US"/>
        </w:rPr>
        <w:t>Gurran</w:t>
      </w:r>
      <w:proofErr w:type="spellEnd"/>
      <w:r w:rsidRPr="00B80E79">
        <w:rPr>
          <w:szCs w:val="22"/>
          <w:lang w:val="en-US"/>
        </w:rPr>
        <w:t xml:space="preserve"> &amp; Whitehead, 2011; Beer, </w:t>
      </w:r>
      <w:proofErr w:type="spellStart"/>
      <w:r w:rsidRPr="00B80E79">
        <w:rPr>
          <w:szCs w:val="22"/>
          <w:lang w:val="en-US"/>
        </w:rPr>
        <w:t>Kearins</w:t>
      </w:r>
      <w:proofErr w:type="spellEnd"/>
      <w:r w:rsidRPr="00B80E79">
        <w:rPr>
          <w:szCs w:val="22"/>
          <w:lang w:val="en-US"/>
        </w:rPr>
        <w:t xml:space="preserve">, &amp; </w:t>
      </w:r>
      <w:proofErr w:type="spellStart"/>
      <w:r w:rsidRPr="00B80E79">
        <w:rPr>
          <w:szCs w:val="22"/>
          <w:lang w:val="en-US"/>
        </w:rPr>
        <w:t>Pieters</w:t>
      </w:r>
      <w:proofErr w:type="spellEnd"/>
      <w:r w:rsidRPr="00B80E79">
        <w:rPr>
          <w:szCs w:val="22"/>
          <w:lang w:val="en-US"/>
        </w:rPr>
        <w:t xml:space="preserve">, 2007). </w:t>
      </w:r>
    </w:p>
    <w:p w:rsidR="00B80E79" w:rsidRPr="00B80E79" w:rsidRDefault="00B80E79" w:rsidP="00B80E79">
      <w:pPr>
        <w:spacing w:before="120" w:after="120" w:line="360" w:lineRule="auto"/>
        <w:jc w:val="both"/>
        <w:rPr>
          <w:szCs w:val="22"/>
          <w:lang w:val="en-US"/>
        </w:rPr>
      </w:pPr>
    </w:p>
    <w:p w:rsidR="00B80E79" w:rsidRPr="00B80E79" w:rsidRDefault="00B80E79" w:rsidP="00B80E79">
      <w:pPr>
        <w:keepNext/>
        <w:spacing w:before="120" w:after="120" w:line="360" w:lineRule="auto"/>
        <w:jc w:val="both"/>
        <w:rPr>
          <w:b/>
          <w:szCs w:val="22"/>
          <w:lang w:val="en-US"/>
        </w:rPr>
      </w:pPr>
      <w:r w:rsidRPr="00B80E79">
        <w:rPr>
          <w:b/>
          <w:szCs w:val="22"/>
          <w:lang w:val="en-US"/>
        </w:rPr>
        <w:t xml:space="preserve">Data </w:t>
      </w:r>
    </w:p>
    <w:p w:rsidR="00B80E79" w:rsidRPr="00B80E79" w:rsidRDefault="00B80E79" w:rsidP="00B80E79">
      <w:pPr>
        <w:spacing w:before="120" w:after="120" w:line="360" w:lineRule="auto"/>
        <w:jc w:val="both"/>
        <w:rPr>
          <w:szCs w:val="22"/>
          <w:lang w:val="en-US"/>
        </w:rPr>
      </w:pPr>
      <w:r w:rsidRPr="00B80E79">
        <w:rPr>
          <w:szCs w:val="22"/>
          <w:lang w:val="en-US"/>
        </w:rPr>
        <w:t xml:space="preserve">We use a panel dataset for 50 Spanish provinces (Ceuta and Melilla </w:t>
      </w:r>
      <w:proofErr w:type="gramStart"/>
      <w:r w:rsidRPr="00B80E79">
        <w:rPr>
          <w:szCs w:val="22"/>
          <w:lang w:val="en-US"/>
        </w:rPr>
        <w:t>have been excluded</w:t>
      </w:r>
      <w:proofErr w:type="gramEnd"/>
      <w:r w:rsidRPr="00B80E79">
        <w:rPr>
          <w:szCs w:val="22"/>
          <w:lang w:val="en-US"/>
        </w:rPr>
        <w:t xml:space="preserve"> due to insufficient data) made up of a set of variables coming from different sources of information over the period 1995-2010. We consider that this time-span is the most appropriate for the aim of this study since it is in this period when most political decisions regarding the construction of affordable houses </w:t>
      </w:r>
      <w:proofErr w:type="gramStart"/>
      <w:r w:rsidRPr="00B80E79">
        <w:rPr>
          <w:szCs w:val="22"/>
          <w:lang w:val="en-US"/>
        </w:rPr>
        <w:t>were taken</w:t>
      </w:r>
      <w:proofErr w:type="gramEnd"/>
      <w:r w:rsidRPr="00B80E79">
        <w:rPr>
          <w:szCs w:val="22"/>
          <w:lang w:val="en-US"/>
        </w:rPr>
        <w:t xml:space="preserve">. In addition, to achieve our econometric analysis we have to make sure that our series have not structural breaks as that occurred after this period </w:t>
      </w:r>
      <w:proofErr w:type="gramStart"/>
      <w:r w:rsidRPr="00B80E79">
        <w:rPr>
          <w:szCs w:val="22"/>
          <w:lang w:val="en-US"/>
        </w:rPr>
        <w:t>as a result</w:t>
      </w:r>
      <w:proofErr w:type="gramEnd"/>
      <w:r w:rsidRPr="00B80E79">
        <w:rPr>
          <w:szCs w:val="22"/>
          <w:lang w:val="en-US"/>
        </w:rPr>
        <w:t xml:space="preserve"> of the financial crisis.</w:t>
      </w:r>
    </w:p>
    <w:p w:rsidR="00B80E79" w:rsidRPr="00B80E79" w:rsidRDefault="00B80E79" w:rsidP="00B80E79">
      <w:pPr>
        <w:spacing w:before="120" w:after="120" w:line="360" w:lineRule="auto"/>
        <w:ind w:firstLine="708"/>
        <w:jc w:val="both"/>
        <w:rPr>
          <w:szCs w:val="22"/>
          <w:lang w:val="en-US"/>
        </w:rPr>
      </w:pPr>
      <w:r w:rsidRPr="00B80E79">
        <w:rPr>
          <w:szCs w:val="22"/>
          <w:lang w:val="en-US"/>
        </w:rPr>
        <w:t xml:space="preserve">Table </w:t>
      </w:r>
      <w:proofErr w:type="gramStart"/>
      <w:r w:rsidRPr="00B80E79">
        <w:rPr>
          <w:szCs w:val="22"/>
          <w:lang w:val="en-US"/>
        </w:rPr>
        <w:t>1</w:t>
      </w:r>
      <w:proofErr w:type="gramEnd"/>
      <w:r w:rsidRPr="00B80E79">
        <w:rPr>
          <w:szCs w:val="22"/>
          <w:lang w:val="en-US"/>
        </w:rPr>
        <w:t xml:space="preserve"> shows the variables used in our estimations. Our dependent variable is </w:t>
      </w:r>
      <w:r w:rsidRPr="00B80E79">
        <w:rPr>
          <w:i/>
          <w:szCs w:val="22"/>
          <w:lang w:val="en-US"/>
        </w:rPr>
        <w:t xml:space="preserve">real housing market prices per square </w:t>
      </w:r>
      <w:proofErr w:type="gramStart"/>
      <w:r w:rsidRPr="00B80E79">
        <w:rPr>
          <w:i/>
          <w:szCs w:val="22"/>
          <w:lang w:val="en-US"/>
        </w:rPr>
        <w:t>meter</w:t>
      </w:r>
      <w:r w:rsidRPr="00B80E79">
        <w:rPr>
          <w:szCs w:val="22"/>
          <w:lang w:val="en-US"/>
        </w:rPr>
        <w:t xml:space="preserve"> which</w:t>
      </w:r>
      <w:proofErr w:type="gramEnd"/>
      <w:r w:rsidRPr="00B80E79">
        <w:rPr>
          <w:szCs w:val="22"/>
          <w:lang w:val="en-US"/>
        </w:rPr>
        <w:t xml:space="preserve"> is taken from the Ministry of Public Works (</w:t>
      </w:r>
      <w:proofErr w:type="spellStart"/>
      <w:r w:rsidRPr="00B80E79">
        <w:rPr>
          <w:szCs w:val="22"/>
          <w:lang w:val="en-US"/>
        </w:rPr>
        <w:t>Ministerio</w:t>
      </w:r>
      <w:proofErr w:type="spellEnd"/>
      <w:r w:rsidRPr="00B80E79">
        <w:rPr>
          <w:szCs w:val="22"/>
          <w:lang w:val="en-US"/>
        </w:rPr>
        <w:t xml:space="preserve"> de </w:t>
      </w:r>
      <w:proofErr w:type="spellStart"/>
      <w:r w:rsidRPr="00B80E79">
        <w:rPr>
          <w:szCs w:val="22"/>
          <w:lang w:val="en-US"/>
        </w:rPr>
        <w:t>Fomento</w:t>
      </w:r>
      <w:proofErr w:type="spellEnd"/>
      <w:r w:rsidRPr="00B80E79">
        <w:rPr>
          <w:szCs w:val="22"/>
          <w:lang w:val="en-US"/>
        </w:rPr>
        <w:t xml:space="preserve">). Our main explanatory variable is the </w:t>
      </w:r>
      <w:r w:rsidRPr="00B80E79">
        <w:rPr>
          <w:i/>
          <w:szCs w:val="22"/>
          <w:lang w:val="en-US"/>
        </w:rPr>
        <w:t>ratio of affordable dwelling completions to free market dwelling completions</w:t>
      </w:r>
      <w:r w:rsidRPr="00B80E79">
        <w:rPr>
          <w:szCs w:val="22"/>
          <w:lang w:val="en-US"/>
        </w:rPr>
        <w:t xml:space="preserve"> (ratio of affordable dwelling, hereinafter). The completions of affordable houses and of new market units’ data come from the Ministry of Public Works (</w:t>
      </w:r>
      <w:proofErr w:type="spellStart"/>
      <w:r w:rsidRPr="00B80E79">
        <w:rPr>
          <w:szCs w:val="22"/>
          <w:lang w:val="en-US"/>
        </w:rPr>
        <w:t>Ministerio</w:t>
      </w:r>
      <w:proofErr w:type="spellEnd"/>
      <w:r w:rsidRPr="00B80E79">
        <w:rPr>
          <w:szCs w:val="22"/>
          <w:lang w:val="en-US"/>
        </w:rPr>
        <w:t xml:space="preserve"> de </w:t>
      </w:r>
      <w:proofErr w:type="spellStart"/>
      <w:r w:rsidRPr="00B80E79">
        <w:rPr>
          <w:szCs w:val="22"/>
          <w:lang w:val="en-US"/>
        </w:rPr>
        <w:t>Fomento</w:t>
      </w:r>
      <w:proofErr w:type="spellEnd"/>
      <w:r w:rsidRPr="00B80E79">
        <w:rPr>
          <w:szCs w:val="22"/>
          <w:lang w:val="en-US"/>
        </w:rPr>
        <w:t xml:space="preserve">). The control variables are those that the literature has traditionally related to housing demand (Esteban &amp; Altuzarra, 2008): </w:t>
      </w:r>
      <w:r w:rsidRPr="00B80E79">
        <w:rPr>
          <w:i/>
          <w:szCs w:val="22"/>
          <w:lang w:val="en-US"/>
        </w:rPr>
        <w:t>annual growth of population</w:t>
      </w:r>
      <w:r w:rsidRPr="00B80E79">
        <w:rPr>
          <w:szCs w:val="22"/>
          <w:lang w:val="en-US"/>
        </w:rPr>
        <w:t xml:space="preserve"> measured as the </w:t>
      </w:r>
      <w:r w:rsidRPr="00B80E79">
        <w:rPr>
          <w:szCs w:val="22"/>
          <w:lang w:val="en-US"/>
        </w:rPr>
        <w:lastRenderedPageBreak/>
        <w:t xml:space="preserve">annual percentage variation; </w:t>
      </w:r>
      <w:r w:rsidRPr="00B80E79">
        <w:rPr>
          <w:i/>
          <w:szCs w:val="22"/>
          <w:lang w:val="en-US"/>
        </w:rPr>
        <w:t>level of disposable income</w:t>
      </w:r>
      <w:proofErr w:type="gramStart"/>
      <w:r w:rsidRPr="00B80E79">
        <w:rPr>
          <w:szCs w:val="22"/>
          <w:lang w:val="en-US"/>
        </w:rPr>
        <w:t>;</w:t>
      </w:r>
      <w:proofErr w:type="gramEnd"/>
      <w:r w:rsidRPr="00B80E79">
        <w:rPr>
          <w:szCs w:val="22"/>
          <w:lang w:val="en-US"/>
        </w:rPr>
        <w:t xml:space="preserve"> </w:t>
      </w:r>
      <w:r w:rsidRPr="00B80E79">
        <w:rPr>
          <w:i/>
          <w:szCs w:val="22"/>
          <w:lang w:val="en-US"/>
        </w:rPr>
        <w:t>mortgage interest rate</w:t>
      </w:r>
      <w:r w:rsidRPr="00B80E79">
        <w:rPr>
          <w:szCs w:val="22"/>
          <w:lang w:val="en-US"/>
        </w:rPr>
        <w:t xml:space="preserve">. Housing prices and disposable income </w:t>
      </w:r>
      <w:proofErr w:type="gramStart"/>
      <w:r w:rsidRPr="00B80E79">
        <w:rPr>
          <w:szCs w:val="22"/>
          <w:lang w:val="en-US"/>
        </w:rPr>
        <w:t>are used</w:t>
      </w:r>
      <w:proofErr w:type="gramEnd"/>
      <w:r w:rsidRPr="00B80E79">
        <w:rPr>
          <w:szCs w:val="22"/>
          <w:lang w:val="en-US"/>
        </w:rPr>
        <w:t xml:space="preserve"> in real terms using the GDP deflator and are expressed in natural logarithms. </w:t>
      </w:r>
    </w:p>
    <w:p w:rsidR="00B80E79" w:rsidRPr="00B80E79" w:rsidRDefault="00B80E79" w:rsidP="00B80E79">
      <w:pPr>
        <w:spacing w:before="120" w:after="120" w:line="360" w:lineRule="auto"/>
        <w:jc w:val="both"/>
        <w:rPr>
          <w:sz w:val="22"/>
          <w:szCs w:val="22"/>
          <w:lang w:val="en-US"/>
        </w:rPr>
      </w:pPr>
    </w:p>
    <w:p w:rsidR="00B80E79" w:rsidRPr="00B80E79" w:rsidRDefault="00B80E79" w:rsidP="00B80E79">
      <w:pPr>
        <w:keepNext/>
        <w:autoSpaceDE w:val="0"/>
        <w:autoSpaceDN w:val="0"/>
        <w:adjustRightInd w:val="0"/>
        <w:spacing w:before="120" w:after="120" w:line="360" w:lineRule="auto"/>
        <w:jc w:val="center"/>
        <w:rPr>
          <w:sz w:val="22"/>
          <w:szCs w:val="22"/>
          <w:lang w:val="en-US"/>
        </w:rPr>
      </w:pPr>
      <w:r w:rsidRPr="00B80E79">
        <w:rPr>
          <w:sz w:val="22"/>
          <w:szCs w:val="22"/>
          <w:lang w:val="en-US"/>
        </w:rPr>
        <w:t>Table 1. Variables used in our econometric analysis</w:t>
      </w:r>
    </w:p>
    <w:tbl>
      <w:tblPr>
        <w:tblStyle w:val="Tablaconcuadrcula"/>
        <w:tblW w:w="0" w:type="auto"/>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802"/>
        <w:gridCol w:w="3402"/>
        <w:gridCol w:w="2440"/>
      </w:tblGrid>
      <w:tr w:rsidR="00B80E79" w:rsidRPr="00B80E79" w:rsidTr="00B95B72">
        <w:trPr>
          <w:jc w:val="center"/>
        </w:trPr>
        <w:tc>
          <w:tcPr>
            <w:tcW w:w="2802" w:type="dxa"/>
          </w:tcPr>
          <w:p w:rsidR="00B80E79" w:rsidRPr="00B80E79" w:rsidRDefault="00B80E79" w:rsidP="00B95B72">
            <w:pPr>
              <w:keepNext/>
              <w:autoSpaceDE w:val="0"/>
              <w:autoSpaceDN w:val="0"/>
              <w:adjustRightInd w:val="0"/>
              <w:jc w:val="center"/>
              <w:rPr>
                <w:rFonts w:ascii="Times New Roman" w:hAnsi="Times New Roman" w:cs="Times New Roman"/>
                <w:sz w:val="18"/>
                <w:szCs w:val="22"/>
              </w:rPr>
            </w:pPr>
            <w:r w:rsidRPr="00B80E79">
              <w:rPr>
                <w:rFonts w:ascii="Times New Roman" w:hAnsi="Times New Roman" w:cs="Times New Roman"/>
                <w:sz w:val="18"/>
                <w:szCs w:val="22"/>
              </w:rPr>
              <w:t>Variable</w:t>
            </w:r>
          </w:p>
        </w:tc>
        <w:tc>
          <w:tcPr>
            <w:tcW w:w="3402" w:type="dxa"/>
          </w:tcPr>
          <w:p w:rsidR="00B80E79" w:rsidRPr="00B80E79" w:rsidRDefault="00B80E79" w:rsidP="00B95B72">
            <w:pPr>
              <w:keepNext/>
              <w:autoSpaceDE w:val="0"/>
              <w:autoSpaceDN w:val="0"/>
              <w:adjustRightInd w:val="0"/>
              <w:jc w:val="center"/>
              <w:rPr>
                <w:rFonts w:ascii="Times New Roman" w:hAnsi="Times New Roman" w:cs="Times New Roman"/>
                <w:sz w:val="18"/>
                <w:szCs w:val="22"/>
              </w:rPr>
            </w:pPr>
            <w:proofErr w:type="spellStart"/>
            <w:r w:rsidRPr="00B80E79">
              <w:rPr>
                <w:rFonts w:ascii="Times New Roman" w:hAnsi="Times New Roman" w:cs="Times New Roman"/>
                <w:sz w:val="18"/>
                <w:szCs w:val="22"/>
              </w:rPr>
              <w:t>Description</w:t>
            </w:r>
            <w:proofErr w:type="spellEnd"/>
          </w:p>
        </w:tc>
        <w:tc>
          <w:tcPr>
            <w:tcW w:w="2440" w:type="dxa"/>
          </w:tcPr>
          <w:p w:rsidR="00B80E79" w:rsidRPr="00B80E79" w:rsidRDefault="00B80E79" w:rsidP="00B95B72">
            <w:pPr>
              <w:keepNext/>
              <w:autoSpaceDE w:val="0"/>
              <w:autoSpaceDN w:val="0"/>
              <w:adjustRightInd w:val="0"/>
              <w:jc w:val="center"/>
              <w:rPr>
                <w:rFonts w:ascii="Times New Roman" w:hAnsi="Times New Roman" w:cs="Times New Roman"/>
                <w:sz w:val="18"/>
                <w:szCs w:val="22"/>
              </w:rPr>
            </w:pPr>
            <w:proofErr w:type="spellStart"/>
            <w:r w:rsidRPr="00B80E79">
              <w:rPr>
                <w:rFonts w:ascii="Times New Roman" w:hAnsi="Times New Roman" w:cs="Times New Roman"/>
                <w:sz w:val="18"/>
                <w:szCs w:val="22"/>
              </w:rPr>
              <w:t>Source</w:t>
            </w:r>
            <w:proofErr w:type="spellEnd"/>
          </w:p>
        </w:tc>
      </w:tr>
      <w:tr w:rsidR="00B80E79" w:rsidRPr="00B80E79" w:rsidTr="00B95B72">
        <w:trPr>
          <w:jc w:val="center"/>
        </w:trPr>
        <w:tc>
          <w:tcPr>
            <w:tcW w:w="2802" w:type="dxa"/>
          </w:tcPr>
          <w:p w:rsidR="00B80E79" w:rsidRPr="00B80E79" w:rsidRDefault="00B80E79" w:rsidP="00B95B72">
            <w:pPr>
              <w:keepNext/>
              <w:jc w:val="both"/>
              <w:rPr>
                <w:rFonts w:ascii="Times New Roman" w:hAnsi="Times New Roman" w:cs="Times New Roman"/>
                <w:sz w:val="18"/>
                <w:szCs w:val="22"/>
                <w:lang w:val="en-US"/>
              </w:rPr>
            </w:pPr>
            <w:r w:rsidRPr="00B80E79">
              <w:rPr>
                <w:rFonts w:ascii="Times New Roman" w:hAnsi="Times New Roman" w:cs="Times New Roman"/>
                <w:sz w:val="18"/>
                <w:szCs w:val="20"/>
                <w:lang w:val="en-US"/>
              </w:rPr>
              <w:t>Real housing market prices per square meter</w:t>
            </w:r>
          </w:p>
        </w:tc>
        <w:tc>
          <w:tcPr>
            <w:tcW w:w="3402" w:type="dxa"/>
          </w:tcPr>
          <w:p w:rsidR="00B80E79" w:rsidRPr="00B80E79" w:rsidRDefault="00B80E79" w:rsidP="00B95B72">
            <w:pPr>
              <w:keepNext/>
              <w:autoSpaceDE w:val="0"/>
              <w:autoSpaceDN w:val="0"/>
              <w:adjustRightInd w:val="0"/>
              <w:jc w:val="both"/>
              <w:rPr>
                <w:rFonts w:ascii="Times New Roman" w:hAnsi="Times New Roman" w:cs="Times New Roman"/>
                <w:sz w:val="18"/>
                <w:szCs w:val="22"/>
                <w:lang w:val="en-US"/>
              </w:rPr>
            </w:pPr>
            <w:r w:rsidRPr="00B80E79">
              <w:rPr>
                <w:rFonts w:ascii="Times New Roman" w:hAnsi="Times New Roman" w:cs="Times New Roman"/>
                <w:sz w:val="18"/>
                <w:szCs w:val="22"/>
                <w:lang w:val="en-US"/>
              </w:rPr>
              <w:t>Real housing market prices per square meter for all type of dwellings (in logs)</w:t>
            </w:r>
          </w:p>
        </w:tc>
        <w:tc>
          <w:tcPr>
            <w:tcW w:w="2440" w:type="dxa"/>
          </w:tcPr>
          <w:p w:rsidR="00B80E79" w:rsidRPr="00B80E79" w:rsidRDefault="00B80E79" w:rsidP="00B95B72">
            <w:pPr>
              <w:keepNext/>
              <w:autoSpaceDE w:val="0"/>
              <w:autoSpaceDN w:val="0"/>
              <w:adjustRightInd w:val="0"/>
              <w:jc w:val="both"/>
              <w:rPr>
                <w:rFonts w:ascii="Times New Roman" w:hAnsi="Times New Roman" w:cs="Times New Roman"/>
                <w:sz w:val="18"/>
                <w:szCs w:val="22"/>
              </w:rPr>
            </w:pPr>
            <w:proofErr w:type="spellStart"/>
            <w:r w:rsidRPr="00B80E79">
              <w:rPr>
                <w:rFonts w:ascii="Times New Roman" w:hAnsi="Times New Roman" w:cs="Times New Roman"/>
                <w:sz w:val="18"/>
                <w:szCs w:val="22"/>
              </w:rPr>
              <w:t>Ministry</w:t>
            </w:r>
            <w:proofErr w:type="spellEnd"/>
            <w:r w:rsidRPr="00B80E79">
              <w:rPr>
                <w:rFonts w:ascii="Times New Roman" w:hAnsi="Times New Roman" w:cs="Times New Roman"/>
                <w:sz w:val="18"/>
                <w:szCs w:val="22"/>
              </w:rPr>
              <w:t xml:space="preserve"> of </w:t>
            </w:r>
            <w:proofErr w:type="spellStart"/>
            <w:r w:rsidRPr="00B80E79">
              <w:rPr>
                <w:rFonts w:ascii="Times New Roman" w:hAnsi="Times New Roman" w:cs="Times New Roman"/>
                <w:sz w:val="18"/>
                <w:szCs w:val="22"/>
              </w:rPr>
              <w:t>Public</w:t>
            </w:r>
            <w:proofErr w:type="spellEnd"/>
            <w:r w:rsidRPr="00B80E79">
              <w:rPr>
                <w:rFonts w:ascii="Times New Roman" w:hAnsi="Times New Roman" w:cs="Times New Roman"/>
                <w:sz w:val="18"/>
                <w:szCs w:val="22"/>
              </w:rPr>
              <w:t xml:space="preserve"> Works</w:t>
            </w:r>
          </w:p>
        </w:tc>
      </w:tr>
      <w:tr w:rsidR="00B80E79" w:rsidRPr="00B80E79" w:rsidTr="00B95B72">
        <w:trPr>
          <w:jc w:val="center"/>
        </w:trPr>
        <w:tc>
          <w:tcPr>
            <w:tcW w:w="2802" w:type="dxa"/>
          </w:tcPr>
          <w:p w:rsidR="00B80E79" w:rsidRPr="00B80E79" w:rsidRDefault="00B80E79" w:rsidP="00B95B72">
            <w:pPr>
              <w:keepNext/>
              <w:autoSpaceDE w:val="0"/>
              <w:autoSpaceDN w:val="0"/>
              <w:adjustRightInd w:val="0"/>
              <w:jc w:val="both"/>
              <w:rPr>
                <w:rFonts w:ascii="Times New Roman" w:hAnsi="Times New Roman" w:cs="Times New Roman"/>
                <w:sz w:val="18"/>
                <w:szCs w:val="22"/>
                <w:lang w:val="en-US"/>
              </w:rPr>
            </w:pPr>
            <w:r w:rsidRPr="00B80E79">
              <w:rPr>
                <w:rFonts w:ascii="Times New Roman" w:hAnsi="Times New Roman" w:cs="Times New Roman"/>
                <w:sz w:val="18"/>
                <w:szCs w:val="22"/>
                <w:lang w:val="en-US"/>
              </w:rPr>
              <w:t>Ratio of affordable to free market dwelling completions</w:t>
            </w:r>
          </w:p>
        </w:tc>
        <w:tc>
          <w:tcPr>
            <w:tcW w:w="3402" w:type="dxa"/>
          </w:tcPr>
          <w:p w:rsidR="00B80E79" w:rsidRPr="00B80E79" w:rsidRDefault="00B80E79" w:rsidP="00B95B72">
            <w:pPr>
              <w:keepNext/>
              <w:autoSpaceDE w:val="0"/>
              <w:autoSpaceDN w:val="0"/>
              <w:adjustRightInd w:val="0"/>
              <w:jc w:val="both"/>
              <w:rPr>
                <w:rFonts w:ascii="Times New Roman" w:hAnsi="Times New Roman" w:cs="Times New Roman"/>
                <w:sz w:val="18"/>
                <w:szCs w:val="22"/>
                <w:lang w:val="en-US"/>
              </w:rPr>
            </w:pPr>
            <w:r w:rsidRPr="00B80E79">
              <w:rPr>
                <w:rFonts w:ascii="Times New Roman" w:hAnsi="Times New Roman" w:cs="Times New Roman"/>
                <w:sz w:val="18"/>
                <w:szCs w:val="22"/>
                <w:lang w:val="en-US"/>
              </w:rPr>
              <w:t>Ratio of the number of affordable dwellings completions to the number of market dwellings completions</w:t>
            </w:r>
          </w:p>
        </w:tc>
        <w:tc>
          <w:tcPr>
            <w:tcW w:w="2440" w:type="dxa"/>
          </w:tcPr>
          <w:p w:rsidR="00B80E79" w:rsidRPr="00B80E79" w:rsidRDefault="00B80E79" w:rsidP="00B95B72">
            <w:pPr>
              <w:keepNext/>
              <w:autoSpaceDE w:val="0"/>
              <w:autoSpaceDN w:val="0"/>
              <w:adjustRightInd w:val="0"/>
              <w:jc w:val="both"/>
              <w:rPr>
                <w:rFonts w:ascii="Times New Roman" w:hAnsi="Times New Roman" w:cs="Times New Roman"/>
                <w:sz w:val="18"/>
                <w:szCs w:val="22"/>
              </w:rPr>
            </w:pPr>
            <w:proofErr w:type="spellStart"/>
            <w:r w:rsidRPr="00B80E79">
              <w:rPr>
                <w:rFonts w:ascii="Times New Roman" w:hAnsi="Times New Roman" w:cs="Times New Roman"/>
                <w:sz w:val="18"/>
                <w:szCs w:val="22"/>
              </w:rPr>
              <w:t>Ministry</w:t>
            </w:r>
            <w:proofErr w:type="spellEnd"/>
            <w:r w:rsidRPr="00B80E79">
              <w:rPr>
                <w:rFonts w:ascii="Times New Roman" w:hAnsi="Times New Roman" w:cs="Times New Roman"/>
                <w:sz w:val="18"/>
                <w:szCs w:val="22"/>
              </w:rPr>
              <w:t xml:space="preserve"> of </w:t>
            </w:r>
            <w:proofErr w:type="spellStart"/>
            <w:r w:rsidRPr="00B80E79">
              <w:rPr>
                <w:rFonts w:ascii="Times New Roman" w:hAnsi="Times New Roman" w:cs="Times New Roman"/>
                <w:sz w:val="18"/>
                <w:szCs w:val="22"/>
              </w:rPr>
              <w:t>Public</w:t>
            </w:r>
            <w:proofErr w:type="spellEnd"/>
            <w:r w:rsidRPr="00B80E79">
              <w:rPr>
                <w:rFonts w:ascii="Times New Roman" w:hAnsi="Times New Roman" w:cs="Times New Roman"/>
                <w:sz w:val="18"/>
                <w:szCs w:val="22"/>
              </w:rPr>
              <w:t xml:space="preserve"> Works</w:t>
            </w:r>
          </w:p>
        </w:tc>
      </w:tr>
      <w:tr w:rsidR="00B80E79" w:rsidRPr="00B80E79" w:rsidTr="00B95B72">
        <w:trPr>
          <w:jc w:val="center"/>
        </w:trPr>
        <w:tc>
          <w:tcPr>
            <w:tcW w:w="2802" w:type="dxa"/>
          </w:tcPr>
          <w:p w:rsidR="00B80E79" w:rsidRPr="00B80E79" w:rsidRDefault="00B80E79" w:rsidP="00B95B72">
            <w:pPr>
              <w:keepNext/>
              <w:autoSpaceDE w:val="0"/>
              <w:autoSpaceDN w:val="0"/>
              <w:adjustRightInd w:val="0"/>
              <w:jc w:val="both"/>
              <w:rPr>
                <w:rFonts w:ascii="Times New Roman" w:hAnsi="Times New Roman" w:cs="Times New Roman"/>
                <w:sz w:val="18"/>
                <w:szCs w:val="22"/>
                <w:lang w:val="en-US"/>
              </w:rPr>
            </w:pPr>
            <w:r w:rsidRPr="00B80E79">
              <w:rPr>
                <w:rFonts w:ascii="Times New Roman" w:hAnsi="Times New Roman" w:cs="Times New Roman"/>
                <w:sz w:val="18"/>
                <w:szCs w:val="22"/>
                <w:lang w:val="en-US"/>
              </w:rPr>
              <w:t>Squared of the Ratio of affordable to free market dwelling completions</w:t>
            </w:r>
          </w:p>
        </w:tc>
        <w:tc>
          <w:tcPr>
            <w:tcW w:w="3402" w:type="dxa"/>
          </w:tcPr>
          <w:p w:rsidR="00B80E79" w:rsidRPr="00B80E79" w:rsidRDefault="00B80E79" w:rsidP="00B95B72">
            <w:pPr>
              <w:keepNext/>
              <w:autoSpaceDE w:val="0"/>
              <w:autoSpaceDN w:val="0"/>
              <w:adjustRightInd w:val="0"/>
              <w:jc w:val="both"/>
              <w:rPr>
                <w:rFonts w:ascii="Times New Roman" w:hAnsi="Times New Roman" w:cs="Times New Roman"/>
                <w:sz w:val="18"/>
                <w:szCs w:val="22"/>
                <w:lang w:val="en-US"/>
              </w:rPr>
            </w:pPr>
            <w:r w:rsidRPr="00B80E79">
              <w:rPr>
                <w:rFonts w:ascii="Times New Roman" w:hAnsi="Times New Roman" w:cs="Times New Roman"/>
                <w:sz w:val="18"/>
                <w:szCs w:val="22"/>
                <w:lang w:val="en-US"/>
              </w:rPr>
              <w:t>Squared value of the ratio of affordable to free market dwelling completions</w:t>
            </w:r>
          </w:p>
        </w:tc>
        <w:tc>
          <w:tcPr>
            <w:tcW w:w="2440" w:type="dxa"/>
          </w:tcPr>
          <w:p w:rsidR="00B80E79" w:rsidRPr="00B80E79" w:rsidRDefault="00B80E79" w:rsidP="00B95B72">
            <w:pPr>
              <w:keepNext/>
              <w:autoSpaceDE w:val="0"/>
              <w:autoSpaceDN w:val="0"/>
              <w:adjustRightInd w:val="0"/>
              <w:jc w:val="both"/>
              <w:rPr>
                <w:rFonts w:ascii="Times New Roman" w:hAnsi="Times New Roman" w:cs="Times New Roman"/>
                <w:sz w:val="18"/>
                <w:szCs w:val="22"/>
              </w:rPr>
            </w:pPr>
            <w:proofErr w:type="spellStart"/>
            <w:r w:rsidRPr="00B80E79">
              <w:rPr>
                <w:rFonts w:ascii="Times New Roman" w:hAnsi="Times New Roman" w:cs="Times New Roman"/>
                <w:sz w:val="18"/>
                <w:szCs w:val="22"/>
              </w:rPr>
              <w:t>Ministry</w:t>
            </w:r>
            <w:proofErr w:type="spellEnd"/>
            <w:r w:rsidRPr="00B80E79">
              <w:rPr>
                <w:rFonts w:ascii="Times New Roman" w:hAnsi="Times New Roman" w:cs="Times New Roman"/>
                <w:sz w:val="18"/>
                <w:szCs w:val="22"/>
              </w:rPr>
              <w:t xml:space="preserve"> of </w:t>
            </w:r>
            <w:proofErr w:type="spellStart"/>
            <w:r w:rsidRPr="00B80E79">
              <w:rPr>
                <w:rFonts w:ascii="Times New Roman" w:hAnsi="Times New Roman" w:cs="Times New Roman"/>
                <w:sz w:val="18"/>
                <w:szCs w:val="22"/>
              </w:rPr>
              <w:t>Public</w:t>
            </w:r>
            <w:proofErr w:type="spellEnd"/>
            <w:r w:rsidRPr="00B80E79">
              <w:rPr>
                <w:rFonts w:ascii="Times New Roman" w:hAnsi="Times New Roman" w:cs="Times New Roman"/>
                <w:sz w:val="18"/>
                <w:szCs w:val="22"/>
              </w:rPr>
              <w:t xml:space="preserve"> Works</w:t>
            </w:r>
          </w:p>
        </w:tc>
      </w:tr>
      <w:tr w:rsidR="00B80E79" w:rsidRPr="00B80E79" w:rsidTr="00B95B72">
        <w:trPr>
          <w:jc w:val="center"/>
        </w:trPr>
        <w:tc>
          <w:tcPr>
            <w:tcW w:w="2802" w:type="dxa"/>
          </w:tcPr>
          <w:p w:rsidR="00B80E79" w:rsidRPr="00B80E79" w:rsidRDefault="00B80E79" w:rsidP="00B95B72">
            <w:pPr>
              <w:keepNext/>
              <w:autoSpaceDE w:val="0"/>
              <w:autoSpaceDN w:val="0"/>
              <w:adjustRightInd w:val="0"/>
              <w:jc w:val="both"/>
              <w:rPr>
                <w:rFonts w:ascii="Times New Roman" w:hAnsi="Times New Roman" w:cs="Times New Roman"/>
                <w:sz w:val="18"/>
                <w:szCs w:val="22"/>
              </w:rPr>
            </w:pPr>
            <w:r w:rsidRPr="00B80E79">
              <w:rPr>
                <w:rFonts w:ascii="Times New Roman" w:hAnsi="Times New Roman" w:cs="Times New Roman"/>
                <w:sz w:val="18"/>
                <w:szCs w:val="22"/>
              </w:rPr>
              <w:t xml:space="preserve">Δ </w:t>
            </w:r>
            <w:proofErr w:type="spellStart"/>
            <w:r w:rsidRPr="00B80E79">
              <w:rPr>
                <w:rFonts w:ascii="Times New Roman" w:hAnsi="Times New Roman" w:cs="Times New Roman"/>
                <w:sz w:val="18"/>
                <w:szCs w:val="22"/>
              </w:rPr>
              <w:t>Population</w:t>
            </w:r>
            <w:proofErr w:type="spellEnd"/>
          </w:p>
        </w:tc>
        <w:tc>
          <w:tcPr>
            <w:tcW w:w="3402" w:type="dxa"/>
          </w:tcPr>
          <w:p w:rsidR="00B80E79" w:rsidRPr="00B80E79" w:rsidRDefault="00B80E79" w:rsidP="00B95B72">
            <w:pPr>
              <w:keepNext/>
              <w:autoSpaceDE w:val="0"/>
              <w:autoSpaceDN w:val="0"/>
              <w:adjustRightInd w:val="0"/>
              <w:jc w:val="both"/>
              <w:rPr>
                <w:rFonts w:ascii="Times New Roman" w:hAnsi="Times New Roman" w:cs="Times New Roman"/>
                <w:sz w:val="18"/>
                <w:szCs w:val="22"/>
                <w:lang w:val="en-US"/>
              </w:rPr>
            </w:pPr>
            <w:r w:rsidRPr="00B80E79">
              <w:rPr>
                <w:rFonts w:ascii="Times New Roman" w:hAnsi="Times New Roman" w:cs="Times New Roman"/>
                <w:sz w:val="18"/>
                <w:szCs w:val="22"/>
                <w:lang w:val="en-US"/>
              </w:rPr>
              <w:t>Annual percentage variation of the population</w:t>
            </w:r>
          </w:p>
        </w:tc>
        <w:tc>
          <w:tcPr>
            <w:tcW w:w="2440" w:type="dxa"/>
          </w:tcPr>
          <w:p w:rsidR="00B80E79" w:rsidRPr="00B80E79" w:rsidRDefault="00B80E79" w:rsidP="00B95B72">
            <w:pPr>
              <w:keepNext/>
              <w:autoSpaceDE w:val="0"/>
              <w:autoSpaceDN w:val="0"/>
              <w:adjustRightInd w:val="0"/>
              <w:jc w:val="both"/>
              <w:rPr>
                <w:rFonts w:ascii="Times New Roman" w:hAnsi="Times New Roman" w:cs="Times New Roman"/>
                <w:sz w:val="18"/>
                <w:szCs w:val="22"/>
              </w:rPr>
            </w:pPr>
            <w:proofErr w:type="spellStart"/>
            <w:r w:rsidRPr="00B80E79">
              <w:rPr>
                <w:rFonts w:ascii="Times New Roman" w:hAnsi="Times New Roman" w:cs="Times New Roman"/>
                <w:sz w:val="18"/>
                <w:szCs w:val="22"/>
              </w:rPr>
              <w:t>Spanish</w:t>
            </w:r>
            <w:proofErr w:type="spellEnd"/>
            <w:r w:rsidRPr="00B80E79">
              <w:rPr>
                <w:rFonts w:ascii="Times New Roman" w:hAnsi="Times New Roman" w:cs="Times New Roman"/>
                <w:sz w:val="18"/>
                <w:szCs w:val="22"/>
              </w:rPr>
              <w:t xml:space="preserve"> </w:t>
            </w:r>
            <w:proofErr w:type="spellStart"/>
            <w:r w:rsidRPr="00B80E79">
              <w:rPr>
                <w:rFonts w:ascii="Times New Roman" w:hAnsi="Times New Roman" w:cs="Times New Roman"/>
                <w:sz w:val="18"/>
                <w:szCs w:val="22"/>
              </w:rPr>
              <w:t>Statistical</w:t>
            </w:r>
            <w:proofErr w:type="spellEnd"/>
            <w:r w:rsidRPr="00B80E79">
              <w:rPr>
                <w:rFonts w:ascii="Times New Roman" w:hAnsi="Times New Roman" w:cs="Times New Roman"/>
                <w:sz w:val="18"/>
                <w:szCs w:val="22"/>
              </w:rPr>
              <w:t xml:space="preserve"> </w:t>
            </w:r>
            <w:proofErr w:type="spellStart"/>
            <w:r w:rsidRPr="00B80E79">
              <w:rPr>
                <w:rFonts w:ascii="Times New Roman" w:hAnsi="Times New Roman" w:cs="Times New Roman"/>
                <w:sz w:val="18"/>
                <w:szCs w:val="22"/>
              </w:rPr>
              <w:t>Institute</w:t>
            </w:r>
            <w:proofErr w:type="spellEnd"/>
            <w:r w:rsidRPr="00B80E79">
              <w:rPr>
                <w:rFonts w:ascii="Times New Roman" w:hAnsi="Times New Roman" w:cs="Times New Roman"/>
                <w:sz w:val="18"/>
                <w:szCs w:val="22"/>
              </w:rPr>
              <w:t xml:space="preserve"> (INE)</w:t>
            </w:r>
          </w:p>
        </w:tc>
      </w:tr>
      <w:tr w:rsidR="00B80E79" w:rsidRPr="00B80E79" w:rsidTr="00B95B72">
        <w:trPr>
          <w:jc w:val="center"/>
        </w:trPr>
        <w:tc>
          <w:tcPr>
            <w:tcW w:w="2802" w:type="dxa"/>
          </w:tcPr>
          <w:p w:rsidR="00B80E79" w:rsidRPr="00B80E79" w:rsidRDefault="00B80E79" w:rsidP="00B95B72">
            <w:pPr>
              <w:keepNext/>
              <w:autoSpaceDE w:val="0"/>
              <w:autoSpaceDN w:val="0"/>
              <w:adjustRightInd w:val="0"/>
              <w:jc w:val="both"/>
              <w:rPr>
                <w:rFonts w:ascii="Times New Roman" w:hAnsi="Times New Roman" w:cs="Times New Roman"/>
                <w:sz w:val="18"/>
                <w:szCs w:val="22"/>
              </w:rPr>
            </w:pPr>
            <w:r w:rsidRPr="00B80E79">
              <w:rPr>
                <w:rFonts w:ascii="Times New Roman" w:hAnsi="Times New Roman" w:cs="Times New Roman"/>
                <w:sz w:val="18"/>
                <w:szCs w:val="22"/>
              </w:rPr>
              <w:t xml:space="preserve">Real </w:t>
            </w:r>
            <w:proofErr w:type="spellStart"/>
            <w:r w:rsidRPr="00B80E79">
              <w:rPr>
                <w:rFonts w:ascii="Times New Roman" w:hAnsi="Times New Roman" w:cs="Times New Roman"/>
                <w:sz w:val="18"/>
                <w:szCs w:val="22"/>
              </w:rPr>
              <w:t>disposable</w:t>
            </w:r>
            <w:proofErr w:type="spellEnd"/>
            <w:r w:rsidRPr="00B80E79">
              <w:rPr>
                <w:rFonts w:ascii="Times New Roman" w:hAnsi="Times New Roman" w:cs="Times New Roman"/>
                <w:sz w:val="18"/>
                <w:szCs w:val="22"/>
              </w:rPr>
              <w:t xml:space="preserve"> </w:t>
            </w:r>
            <w:proofErr w:type="spellStart"/>
            <w:r w:rsidRPr="00B80E79">
              <w:rPr>
                <w:rFonts w:ascii="Times New Roman" w:hAnsi="Times New Roman" w:cs="Times New Roman"/>
                <w:sz w:val="18"/>
                <w:szCs w:val="22"/>
              </w:rPr>
              <w:t>income</w:t>
            </w:r>
            <w:proofErr w:type="spellEnd"/>
          </w:p>
        </w:tc>
        <w:tc>
          <w:tcPr>
            <w:tcW w:w="3402" w:type="dxa"/>
          </w:tcPr>
          <w:p w:rsidR="00B80E79" w:rsidRPr="00B80E79" w:rsidRDefault="00B80E79" w:rsidP="00B95B72">
            <w:pPr>
              <w:keepNext/>
              <w:autoSpaceDE w:val="0"/>
              <w:autoSpaceDN w:val="0"/>
              <w:adjustRightInd w:val="0"/>
              <w:jc w:val="both"/>
              <w:rPr>
                <w:rFonts w:ascii="Times New Roman" w:hAnsi="Times New Roman" w:cs="Times New Roman"/>
                <w:sz w:val="18"/>
                <w:szCs w:val="22"/>
                <w:lang w:val="en-US"/>
              </w:rPr>
            </w:pPr>
            <w:r w:rsidRPr="00B80E79">
              <w:rPr>
                <w:rFonts w:ascii="Times New Roman" w:hAnsi="Times New Roman" w:cs="Times New Roman"/>
                <w:sz w:val="18"/>
                <w:szCs w:val="22"/>
                <w:lang w:val="en-US"/>
              </w:rPr>
              <w:t>Level of the real disposable income (in logs)</w:t>
            </w:r>
          </w:p>
        </w:tc>
        <w:tc>
          <w:tcPr>
            <w:tcW w:w="2440" w:type="dxa"/>
          </w:tcPr>
          <w:p w:rsidR="00B80E79" w:rsidRPr="00B80E79" w:rsidRDefault="00B80E79" w:rsidP="00B95B72">
            <w:pPr>
              <w:keepNext/>
              <w:autoSpaceDE w:val="0"/>
              <w:autoSpaceDN w:val="0"/>
              <w:adjustRightInd w:val="0"/>
              <w:jc w:val="both"/>
              <w:rPr>
                <w:rFonts w:ascii="Times New Roman" w:hAnsi="Times New Roman" w:cs="Times New Roman"/>
                <w:sz w:val="18"/>
                <w:szCs w:val="22"/>
                <w:lang w:val="en-US"/>
              </w:rPr>
            </w:pPr>
            <w:r w:rsidRPr="00B80E79">
              <w:rPr>
                <w:rFonts w:ascii="Times New Roman" w:hAnsi="Times New Roman" w:cs="Times New Roman"/>
                <w:sz w:val="18"/>
                <w:szCs w:val="22"/>
                <w:lang w:val="en-US"/>
              </w:rPr>
              <w:t>Regional Accountants elaborated by Spanish Statistical Institute (INE)</w:t>
            </w:r>
          </w:p>
        </w:tc>
      </w:tr>
      <w:tr w:rsidR="00B80E79" w:rsidRPr="00B80E79" w:rsidTr="00B95B72">
        <w:trPr>
          <w:jc w:val="center"/>
        </w:trPr>
        <w:tc>
          <w:tcPr>
            <w:tcW w:w="2802" w:type="dxa"/>
          </w:tcPr>
          <w:p w:rsidR="00B80E79" w:rsidRPr="00B80E79" w:rsidRDefault="00B80E79" w:rsidP="00B95B72">
            <w:pPr>
              <w:keepNext/>
              <w:autoSpaceDE w:val="0"/>
              <w:autoSpaceDN w:val="0"/>
              <w:adjustRightInd w:val="0"/>
              <w:jc w:val="both"/>
              <w:rPr>
                <w:rFonts w:ascii="Times New Roman" w:hAnsi="Times New Roman" w:cs="Times New Roman"/>
                <w:sz w:val="18"/>
                <w:szCs w:val="22"/>
              </w:rPr>
            </w:pPr>
            <w:proofErr w:type="spellStart"/>
            <w:r w:rsidRPr="00B80E79">
              <w:rPr>
                <w:rFonts w:ascii="Times New Roman" w:hAnsi="Times New Roman" w:cs="Times New Roman"/>
                <w:sz w:val="18"/>
                <w:szCs w:val="22"/>
              </w:rPr>
              <w:t>Mortgage</w:t>
            </w:r>
            <w:proofErr w:type="spellEnd"/>
            <w:r w:rsidRPr="00B80E79">
              <w:rPr>
                <w:rFonts w:ascii="Times New Roman" w:hAnsi="Times New Roman" w:cs="Times New Roman"/>
                <w:sz w:val="18"/>
                <w:szCs w:val="22"/>
              </w:rPr>
              <w:t xml:space="preserve"> </w:t>
            </w:r>
            <w:proofErr w:type="spellStart"/>
            <w:r w:rsidRPr="00B80E79">
              <w:rPr>
                <w:rFonts w:ascii="Times New Roman" w:hAnsi="Times New Roman" w:cs="Times New Roman"/>
                <w:sz w:val="18"/>
                <w:szCs w:val="22"/>
              </w:rPr>
              <w:t>interest</w:t>
            </w:r>
            <w:proofErr w:type="spellEnd"/>
            <w:r w:rsidRPr="00B80E79">
              <w:rPr>
                <w:rFonts w:ascii="Times New Roman" w:hAnsi="Times New Roman" w:cs="Times New Roman"/>
                <w:sz w:val="18"/>
                <w:szCs w:val="22"/>
              </w:rPr>
              <w:t xml:space="preserve"> </w:t>
            </w:r>
            <w:proofErr w:type="spellStart"/>
            <w:r w:rsidRPr="00B80E79">
              <w:rPr>
                <w:rFonts w:ascii="Times New Roman" w:hAnsi="Times New Roman" w:cs="Times New Roman"/>
                <w:sz w:val="18"/>
                <w:szCs w:val="22"/>
              </w:rPr>
              <w:t>rate</w:t>
            </w:r>
            <w:proofErr w:type="spellEnd"/>
          </w:p>
        </w:tc>
        <w:tc>
          <w:tcPr>
            <w:tcW w:w="3402" w:type="dxa"/>
          </w:tcPr>
          <w:p w:rsidR="00B80E79" w:rsidRPr="00B80E79" w:rsidRDefault="00B80E79" w:rsidP="00B95B72">
            <w:pPr>
              <w:keepNext/>
              <w:autoSpaceDE w:val="0"/>
              <w:autoSpaceDN w:val="0"/>
              <w:adjustRightInd w:val="0"/>
              <w:jc w:val="both"/>
              <w:rPr>
                <w:rFonts w:ascii="Times New Roman" w:hAnsi="Times New Roman" w:cs="Times New Roman"/>
                <w:sz w:val="18"/>
                <w:szCs w:val="22"/>
              </w:rPr>
            </w:pPr>
            <w:proofErr w:type="spellStart"/>
            <w:r w:rsidRPr="00B80E79">
              <w:rPr>
                <w:rFonts w:ascii="Times New Roman" w:hAnsi="Times New Roman" w:cs="Times New Roman"/>
                <w:sz w:val="18"/>
                <w:szCs w:val="22"/>
              </w:rPr>
              <w:t>Mortgage</w:t>
            </w:r>
            <w:proofErr w:type="spellEnd"/>
            <w:r w:rsidRPr="00B80E79">
              <w:rPr>
                <w:rFonts w:ascii="Times New Roman" w:hAnsi="Times New Roman" w:cs="Times New Roman"/>
                <w:sz w:val="18"/>
                <w:szCs w:val="22"/>
              </w:rPr>
              <w:t xml:space="preserve"> </w:t>
            </w:r>
            <w:proofErr w:type="spellStart"/>
            <w:r w:rsidRPr="00B80E79">
              <w:rPr>
                <w:rFonts w:ascii="Times New Roman" w:hAnsi="Times New Roman" w:cs="Times New Roman"/>
                <w:sz w:val="18"/>
                <w:szCs w:val="22"/>
              </w:rPr>
              <w:t>interest</w:t>
            </w:r>
            <w:proofErr w:type="spellEnd"/>
            <w:r w:rsidRPr="00B80E79">
              <w:rPr>
                <w:rFonts w:ascii="Times New Roman" w:hAnsi="Times New Roman" w:cs="Times New Roman"/>
                <w:sz w:val="18"/>
                <w:szCs w:val="22"/>
              </w:rPr>
              <w:t xml:space="preserve"> </w:t>
            </w:r>
            <w:proofErr w:type="spellStart"/>
            <w:r w:rsidRPr="00B80E79">
              <w:rPr>
                <w:rFonts w:ascii="Times New Roman" w:hAnsi="Times New Roman" w:cs="Times New Roman"/>
                <w:sz w:val="18"/>
                <w:szCs w:val="22"/>
              </w:rPr>
              <w:t>rate</w:t>
            </w:r>
            <w:proofErr w:type="spellEnd"/>
          </w:p>
        </w:tc>
        <w:tc>
          <w:tcPr>
            <w:tcW w:w="2440" w:type="dxa"/>
          </w:tcPr>
          <w:p w:rsidR="00B80E79" w:rsidRPr="00B80E79" w:rsidRDefault="00B80E79" w:rsidP="00B95B72">
            <w:pPr>
              <w:keepNext/>
              <w:autoSpaceDE w:val="0"/>
              <w:autoSpaceDN w:val="0"/>
              <w:adjustRightInd w:val="0"/>
              <w:jc w:val="both"/>
              <w:rPr>
                <w:rFonts w:ascii="Times New Roman" w:hAnsi="Times New Roman" w:cs="Times New Roman"/>
                <w:sz w:val="18"/>
                <w:szCs w:val="22"/>
              </w:rPr>
            </w:pPr>
            <w:proofErr w:type="spellStart"/>
            <w:r w:rsidRPr="00B80E79">
              <w:rPr>
                <w:rFonts w:ascii="Times New Roman" w:hAnsi="Times New Roman" w:cs="Times New Roman"/>
                <w:sz w:val="18"/>
                <w:szCs w:val="22"/>
              </w:rPr>
              <w:t>Spanish</w:t>
            </w:r>
            <w:proofErr w:type="spellEnd"/>
            <w:r w:rsidRPr="00B80E79">
              <w:rPr>
                <w:rFonts w:ascii="Times New Roman" w:hAnsi="Times New Roman" w:cs="Times New Roman"/>
                <w:sz w:val="18"/>
                <w:szCs w:val="22"/>
              </w:rPr>
              <w:t xml:space="preserve"> Central Bank.</w:t>
            </w:r>
          </w:p>
        </w:tc>
      </w:tr>
    </w:tbl>
    <w:p w:rsidR="00B80E79" w:rsidRPr="00B80E79" w:rsidRDefault="00B80E79" w:rsidP="00B80E79">
      <w:pPr>
        <w:autoSpaceDE w:val="0"/>
        <w:autoSpaceDN w:val="0"/>
        <w:adjustRightInd w:val="0"/>
        <w:spacing w:before="120" w:after="120" w:line="360" w:lineRule="auto"/>
        <w:jc w:val="both"/>
        <w:rPr>
          <w:szCs w:val="22"/>
        </w:rPr>
      </w:pPr>
    </w:p>
    <w:p w:rsidR="00B80E79" w:rsidRPr="00B80E79" w:rsidRDefault="00B80E79" w:rsidP="00B80E79">
      <w:pPr>
        <w:autoSpaceDE w:val="0"/>
        <w:autoSpaceDN w:val="0"/>
        <w:adjustRightInd w:val="0"/>
        <w:spacing w:before="120" w:after="120" w:line="360" w:lineRule="auto"/>
        <w:ind w:firstLine="708"/>
        <w:jc w:val="both"/>
        <w:rPr>
          <w:szCs w:val="22"/>
          <w:lang w:val="en-US"/>
        </w:rPr>
      </w:pPr>
      <w:r w:rsidRPr="00B80E79">
        <w:rPr>
          <w:szCs w:val="22"/>
          <w:lang w:val="en-US"/>
        </w:rPr>
        <w:t xml:space="preserve">Figure 1 presents the evolution of affordable and market dwelling completions and the evolution of real housing market prices for Spain during the period 1995-2010. The pace of market dwellings completions increases during the growth period until 2008 and shows a marked drop beyond that time. The affordable dwelling completions present a shifting trend during the period under study. They decrease until 2002 and start an increasing trend until 2008 to start dropping again since then. In terms of volume of completions, the variation has been much more prominent in the case of market dwellings than in the affordable sector. There have been, however, significant differences across regions in the evolution of both types of dwellings. Real housing prices moves similarly to market housing completions, showing a dramatic drop since 2008. </w:t>
      </w:r>
    </w:p>
    <w:p w:rsidR="00B80E79" w:rsidRPr="00B80E79" w:rsidRDefault="00B80E79" w:rsidP="00B80E79">
      <w:pPr>
        <w:autoSpaceDE w:val="0"/>
        <w:autoSpaceDN w:val="0"/>
        <w:adjustRightInd w:val="0"/>
        <w:spacing w:before="120" w:after="120" w:line="360" w:lineRule="auto"/>
        <w:ind w:firstLine="708"/>
        <w:jc w:val="both"/>
        <w:rPr>
          <w:szCs w:val="22"/>
          <w:lang w:val="en-US"/>
        </w:rPr>
      </w:pPr>
    </w:p>
    <w:p w:rsidR="00B80E79" w:rsidRDefault="00B80E79" w:rsidP="00B80E79">
      <w:pPr>
        <w:keepNext/>
        <w:autoSpaceDE w:val="0"/>
        <w:autoSpaceDN w:val="0"/>
        <w:adjustRightInd w:val="0"/>
        <w:spacing w:before="120" w:after="120" w:line="360" w:lineRule="auto"/>
        <w:jc w:val="center"/>
        <w:rPr>
          <w:sz w:val="22"/>
          <w:szCs w:val="22"/>
        </w:rPr>
      </w:pPr>
      <w:r w:rsidRPr="00B80E79">
        <w:rPr>
          <w:sz w:val="22"/>
          <w:szCs w:val="22"/>
          <w:lang w:val="en-US"/>
        </w:rPr>
        <w:lastRenderedPageBreak/>
        <w:t xml:space="preserve">Figure 1. Completions of affordable and market dwellings and real housing market prices per square meter. </w:t>
      </w:r>
      <w:r w:rsidRPr="00CE773F">
        <w:rPr>
          <w:sz w:val="22"/>
          <w:szCs w:val="22"/>
        </w:rPr>
        <w:t>1995-2</w:t>
      </w:r>
      <w:r>
        <w:rPr>
          <w:sz w:val="22"/>
          <w:szCs w:val="22"/>
        </w:rPr>
        <w:t>010</w:t>
      </w:r>
    </w:p>
    <w:p w:rsidR="00B80E79" w:rsidRDefault="00B80E79" w:rsidP="00B80E79">
      <w:pPr>
        <w:keepNext/>
        <w:autoSpaceDE w:val="0"/>
        <w:autoSpaceDN w:val="0"/>
        <w:adjustRightInd w:val="0"/>
        <w:spacing w:before="120" w:after="120" w:line="360" w:lineRule="auto"/>
        <w:jc w:val="center"/>
        <w:rPr>
          <w:sz w:val="22"/>
          <w:szCs w:val="22"/>
        </w:rPr>
      </w:pPr>
      <w:r>
        <w:rPr>
          <w:noProof/>
          <w:sz w:val="22"/>
          <w:szCs w:val="22"/>
        </w:rPr>
        <w:drawing>
          <wp:inline distT="0" distB="0" distL="0" distR="0" wp14:anchorId="3F39778F" wp14:editId="1AAC8B42">
            <wp:extent cx="5400000" cy="2190750"/>
            <wp:effectExtent l="19050" t="0" r="1020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0E79" w:rsidRPr="00B80E79" w:rsidRDefault="00B80E79" w:rsidP="00B80E79">
      <w:pPr>
        <w:autoSpaceDE w:val="0"/>
        <w:autoSpaceDN w:val="0"/>
        <w:adjustRightInd w:val="0"/>
        <w:spacing w:before="120" w:after="120" w:line="360" w:lineRule="auto"/>
        <w:jc w:val="center"/>
        <w:rPr>
          <w:sz w:val="22"/>
          <w:szCs w:val="22"/>
          <w:lang w:val="en-US"/>
        </w:rPr>
      </w:pPr>
      <w:r w:rsidRPr="00B80E79">
        <w:rPr>
          <w:sz w:val="22"/>
          <w:szCs w:val="22"/>
          <w:lang w:val="en-US"/>
        </w:rPr>
        <w:t>Source: Ministry of Public Works and own elaboration</w:t>
      </w:r>
    </w:p>
    <w:p w:rsidR="00B80E79" w:rsidRPr="00B80E79" w:rsidRDefault="00B80E79" w:rsidP="00B80E79">
      <w:pPr>
        <w:autoSpaceDE w:val="0"/>
        <w:autoSpaceDN w:val="0"/>
        <w:adjustRightInd w:val="0"/>
        <w:spacing w:before="120" w:after="120" w:line="360" w:lineRule="auto"/>
        <w:jc w:val="both"/>
        <w:rPr>
          <w:szCs w:val="22"/>
          <w:lang w:val="en-US"/>
        </w:rPr>
      </w:pPr>
    </w:p>
    <w:p w:rsidR="00B80E79" w:rsidRPr="00B80E79" w:rsidRDefault="00B80E79" w:rsidP="00B80E79">
      <w:pPr>
        <w:autoSpaceDE w:val="0"/>
        <w:autoSpaceDN w:val="0"/>
        <w:adjustRightInd w:val="0"/>
        <w:spacing w:before="120" w:after="120" w:line="360" w:lineRule="auto"/>
        <w:ind w:firstLine="708"/>
        <w:jc w:val="both"/>
        <w:rPr>
          <w:szCs w:val="22"/>
          <w:lang w:val="en-US"/>
        </w:rPr>
      </w:pPr>
      <w:r w:rsidRPr="00B80E79">
        <w:rPr>
          <w:szCs w:val="22"/>
          <w:lang w:val="en-US"/>
        </w:rPr>
        <w:t xml:space="preserve">Figure 2 shows the evolution of both the ratio of affordable dwellings and real housing market prices per square meter for Spain during the period 1995-2010. Two different trends in the evolution of the ratio of affordable units are noted: from 1995 to </w:t>
      </w:r>
      <w:proofErr w:type="gramStart"/>
      <w:r w:rsidRPr="00B80E79">
        <w:rPr>
          <w:szCs w:val="22"/>
          <w:lang w:val="en-US"/>
        </w:rPr>
        <w:t>2002</w:t>
      </w:r>
      <w:proofErr w:type="gramEnd"/>
      <w:r w:rsidRPr="00B80E79">
        <w:rPr>
          <w:szCs w:val="22"/>
          <w:lang w:val="en-US"/>
        </w:rPr>
        <w:t xml:space="preserve"> there is a downwards trend and from 2003 to 2010 an upward tendency. For example, in 2002 only 0.08 affordable dwellings </w:t>
      </w:r>
      <w:proofErr w:type="gramStart"/>
      <w:r w:rsidRPr="00B80E79">
        <w:rPr>
          <w:szCs w:val="22"/>
          <w:lang w:val="en-US"/>
        </w:rPr>
        <w:t>were built</w:t>
      </w:r>
      <w:proofErr w:type="gramEnd"/>
      <w:r w:rsidRPr="00B80E79">
        <w:rPr>
          <w:szCs w:val="22"/>
          <w:lang w:val="en-US"/>
        </w:rPr>
        <w:t xml:space="preserve"> for every market unit built (8%). In 2010, 0.25 affordable dwellings </w:t>
      </w:r>
      <w:proofErr w:type="gramStart"/>
      <w:r w:rsidRPr="00B80E79">
        <w:rPr>
          <w:szCs w:val="22"/>
          <w:lang w:val="en-US"/>
        </w:rPr>
        <w:t>were built</w:t>
      </w:r>
      <w:proofErr w:type="gramEnd"/>
      <w:r w:rsidRPr="00B80E79">
        <w:rPr>
          <w:szCs w:val="22"/>
          <w:lang w:val="en-US"/>
        </w:rPr>
        <w:t xml:space="preserve"> for every market dwelling built (25%). The path of the ratio of affordable dwellings is almost the opposite to that of real housing prices during the period studied.</w:t>
      </w:r>
    </w:p>
    <w:p w:rsidR="00B80E79" w:rsidRPr="00B80E79" w:rsidRDefault="00B80E79" w:rsidP="00B80E79">
      <w:pPr>
        <w:autoSpaceDE w:val="0"/>
        <w:autoSpaceDN w:val="0"/>
        <w:adjustRightInd w:val="0"/>
        <w:spacing w:before="120" w:after="120" w:line="360" w:lineRule="auto"/>
        <w:jc w:val="both"/>
        <w:rPr>
          <w:szCs w:val="22"/>
          <w:lang w:val="en-US"/>
        </w:rPr>
      </w:pPr>
    </w:p>
    <w:p w:rsidR="00B80E79" w:rsidRPr="00B80E79" w:rsidRDefault="00B80E79" w:rsidP="00B80E79">
      <w:pPr>
        <w:keepNext/>
        <w:autoSpaceDE w:val="0"/>
        <w:autoSpaceDN w:val="0"/>
        <w:adjustRightInd w:val="0"/>
        <w:spacing w:before="120" w:after="120" w:line="360" w:lineRule="auto"/>
        <w:jc w:val="center"/>
        <w:rPr>
          <w:szCs w:val="22"/>
        </w:rPr>
      </w:pPr>
      <w:r w:rsidRPr="00B80E79">
        <w:rPr>
          <w:szCs w:val="22"/>
          <w:lang w:val="en-US"/>
        </w:rPr>
        <w:lastRenderedPageBreak/>
        <w:t xml:space="preserve">Figure 2. Ratio of affordable dwelling and Real housing prices per square meter. </w:t>
      </w:r>
      <w:r w:rsidRPr="00B80E79">
        <w:rPr>
          <w:szCs w:val="22"/>
        </w:rPr>
        <w:t>1995-2010</w:t>
      </w:r>
    </w:p>
    <w:p w:rsidR="00B80E79" w:rsidRPr="00B80E79" w:rsidRDefault="00B80E79" w:rsidP="00B80E79">
      <w:pPr>
        <w:keepNext/>
        <w:autoSpaceDE w:val="0"/>
        <w:autoSpaceDN w:val="0"/>
        <w:adjustRightInd w:val="0"/>
        <w:spacing w:before="120" w:after="120" w:line="360" w:lineRule="auto"/>
        <w:jc w:val="center"/>
        <w:rPr>
          <w:szCs w:val="22"/>
        </w:rPr>
      </w:pPr>
      <w:r w:rsidRPr="00B80E79">
        <w:rPr>
          <w:noProof/>
          <w:szCs w:val="22"/>
        </w:rPr>
        <w:drawing>
          <wp:inline distT="0" distB="0" distL="0" distR="0" wp14:anchorId="68672270" wp14:editId="57A11D1F">
            <wp:extent cx="5400000" cy="2190750"/>
            <wp:effectExtent l="19050" t="0" r="1020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0E79" w:rsidRPr="00B80E79" w:rsidRDefault="00B80E79" w:rsidP="00B80E79">
      <w:pPr>
        <w:keepNext/>
        <w:autoSpaceDE w:val="0"/>
        <w:autoSpaceDN w:val="0"/>
        <w:adjustRightInd w:val="0"/>
        <w:spacing w:before="120" w:after="120" w:line="360" w:lineRule="auto"/>
        <w:jc w:val="center"/>
        <w:rPr>
          <w:szCs w:val="22"/>
          <w:lang w:val="en-US"/>
        </w:rPr>
      </w:pPr>
      <w:r w:rsidRPr="00B80E79">
        <w:rPr>
          <w:szCs w:val="22"/>
          <w:lang w:val="en-US"/>
        </w:rPr>
        <w:t>Source: Ministry of Public Works and own elaboration</w:t>
      </w:r>
    </w:p>
    <w:p w:rsidR="00B80E79" w:rsidRPr="00B80E79" w:rsidRDefault="00B80E79" w:rsidP="00B80E79">
      <w:pPr>
        <w:autoSpaceDE w:val="0"/>
        <w:autoSpaceDN w:val="0"/>
        <w:adjustRightInd w:val="0"/>
        <w:spacing w:before="120" w:after="120" w:line="360" w:lineRule="auto"/>
        <w:jc w:val="both"/>
        <w:rPr>
          <w:szCs w:val="22"/>
          <w:lang w:val="en-US"/>
        </w:rPr>
      </w:pPr>
    </w:p>
    <w:p w:rsidR="00B80E79" w:rsidRPr="00B80E79" w:rsidRDefault="00B80E79" w:rsidP="00B80E79">
      <w:pPr>
        <w:autoSpaceDE w:val="0"/>
        <w:autoSpaceDN w:val="0"/>
        <w:adjustRightInd w:val="0"/>
        <w:spacing w:before="120" w:after="120" w:line="360" w:lineRule="auto"/>
        <w:ind w:firstLine="708"/>
        <w:jc w:val="both"/>
        <w:rPr>
          <w:szCs w:val="22"/>
          <w:lang w:val="en-US"/>
        </w:rPr>
      </w:pPr>
      <w:r w:rsidRPr="00B80E79">
        <w:rPr>
          <w:szCs w:val="22"/>
          <w:lang w:val="en-US"/>
        </w:rPr>
        <w:t xml:space="preserve">There are, however, significant differences across regions. Figure 3 shows the ratio of affordable dwellings for four provinces in Spain: Madrid, Barcelona, Malaga and Alava. Madrid, Malaga and particularly Alava show a steady trend of growth while Barcelona exhibits a low pace. For example, in 2010 Alava exhibited the highest ratio of affordable units (4.4) which means that, in that year 4.4 affordable dwellings </w:t>
      </w:r>
      <w:proofErr w:type="gramStart"/>
      <w:r w:rsidRPr="00B80E79">
        <w:rPr>
          <w:szCs w:val="22"/>
          <w:lang w:val="en-US"/>
        </w:rPr>
        <w:t>were built</w:t>
      </w:r>
      <w:proofErr w:type="gramEnd"/>
      <w:r w:rsidRPr="00B80E79">
        <w:rPr>
          <w:szCs w:val="22"/>
          <w:lang w:val="en-US"/>
        </w:rPr>
        <w:t xml:space="preserve"> for every market unit. In Madrid, this ratio was 1.1 and 0.7 in Malaga. In Barcelona, however, only 0.4 affordable dwellings </w:t>
      </w:r>
      <w:proofErr w:type="gramStart"/>
      <w:r w:rsidRPr="00B80E79">
        <w:rPr>
          <w:szCs w:val="22"/>
          <w:lang w:val="en-US"/>
        </w:rPr>
        <w:t>were built</w:t>
      </w:r>
      <w:proofErr w:type="gramEnd"/>
      <w:r w:rsidRPr="00B80E79">
        <w:rPr>
          <w:szCs w:val="22"/>
          <w:lang w:val="en-US"/>
        </w:rPr>
        <w:t xml:space="preserve"> for every new market unit built.</w:t>
      </w:r>
    </w:p>
    <w:p w:rsidR="00B80E79" w:rsidRPr="00B80E79" w:rsidRDefault="00B80E79" w:rsidP="00B80E79">
      <w:pPr>
        <w:autoSpaceDE w:val="0"/>
        <w:autoSpaceDN w:val="0"/>
        <w:adjustRightInd w:val="0"/>
        <w:spacing w:before="120" w:after="120" w:line="360" w:lineRule="auto"/>
        <w:jc w:val="both"/>
        <w:rPr>
          <w:szCs w:val="22"/>
          <w:lang w:val="en-US"/>
        </w:rPr>
      </w:pPr>
    </w:p>
    <w:p w:rsidR="00B80E79" w:rsidRPr="00AD0F4B" w:rsidRDefault="00B80E79" w:rsidP="00B80E79">
      <w:pPr>
        <w:keepNext/>
        <w:autoSpaceDE w:val="0"/>
        <w:autoSpaceDN w:val="0"/>
        <w:adjustRightInd w:val="0"/>
        <w:spacing w:before="120" w:after="120" w:line="360" w:lineRule="auto"/>
        <w:jc w:val="center"/>
        <w:rPr>
          <w:sz w:val="22"/>
          <w:szCs w:val="22"/>
        </w:rPr>
      </w:pPr>
      <w:r w:rsidRPr="00B80E79">
        <w:rPr>
          <w:sz w:val="22"/>
          <w:szCs w:val="22"/>
          <w:lang w:val="en-US"/>
        </w:rPr>
        <w:lastRenderedPageBreak/>
        <w:t xml:space="preserve">Figure 3. Ratio of affordable dwellings. </w:t>
      </w:r>
      <w:r w:rsidRPr="00AD0F4B">
        <w:rPr>
          <w:sz w:val="22"/>
          <w:szCs w:val="22"/>
        </w:rPr>
        <w:t xml:space="preserve">1995-2010. </w:t>
      </w:r>
      <w:proofErr w:type="spellStart"/>
      <w:r w:rsidRPr="00AD0F4B">
        <w:rPr>
          <w:sz w:val="22"/>
          <w:szCs w:val="22"/>
        </w:rPr>
        <w:t>Spain</w:t>
      </w:r>
      <w:proofErr w:type="spellEnd"/>
      <w:r w:rsidRPr="00AD0F4B">
        <w:rPr>
          <w:sz w:val="22"/>
          <w:szCs w:val="22"/>
        </w:rPr>
        <w:t xml:space="preserve">, Madrid, Barcelona, </w:t>
      </w:r>
      <w:proofErr w:type="spellStart"/>
      <w:r w:rsidRPr="00AD0F4B">
        <w:rPr>
          <w:sz w:val="22"/>
          <w:szCs w:val="22"/>
        </w:rPr>
        <w:t>Malaga</w:t>
      </w:r>
      <w:proofErr w:type="spellEnd"/>
      <w:r w:rsidRPr="00AD0F4B">
        <w:rPr>
          <w:sz w:val="22"/>
          <w:szCs w:val="22"/>
        </w:rPr>
        <w:t xml:space="preserve"> a</w:t>
      </w:r>
      <w:r>
        <w:rPr>
          <w:sz w:val="22"/>
          <w:szCs w:val="22"/>
        </w:rPr>
        <w:t xml:space="preserve">nd </w:t>
      </w:r>
      <w:proofErr w:type="spellStart"/>
      <w:r>
        <w:rPr>
          <w:sz w:val="22"/>
          <w:szCs w:val="22"/>
        </w:rPr>
        <w:t>Alava</w:t>
      </w:r>
      <w:proofErr w:type="spellEnd"/>
    </w:p>
    <w:p w:rsidR="00B80E79" w:rsidRPr="00CE773F" w:rsidRDefault="00B80E79" w:rsidP="00B80E79">
      <w:pPr>
        <w:keepNext/>
        <w:autoSpaceDE w:val="0"/>
        <w:autoSpaceDN w:val="0"/>
        <w:adjustRightInd w:val="0"/>
        <w:spacing w:before="120" w:after="120" w:line="360" w:lineRule="auto"/>
        <w:jc w:val="center"/>
        <w:rPr>
          <w:sz w:val="22"/>
          <w:szCs w:val="22"/>
        </w:rPr>
      </w:pPr>
      <w:r w:rsidRPr="00AD0F4B">
        <w:rPr>
          <w:noProof/>
          <w:sz w:val="22"/>
          <w:szCs w:val="22"/>
        </w:rPr>
        <w:drawing>
          <wp:inline distT="0" distB="0" distL="0" distR="0" wp14:anchorId="5AE70075" wp14:editId="6B096C4E">
            <wp:extent cx="5400040" cy="2160000"/>
            <wp:effectExtent l="19050" t="0" r="1016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0E79" w:rsidRPr="00B80E79" w:rsidRDefault="00B80E79" w:rsidP="00B80E79">
      <w:pPr>
        <w:keepNext/>
        <w:autoSpaceDE w:val="0"/>
        <w:autoSpaceDN w:val="0"/>
        <w:adjustRightInd w:val="0"/>
        <w:spacing w:before="120" w:after="120" w:line="360" w:lineRule="auto"/>
        <w:jc w:val="center"/>
        <w:rPr>
          <w:lang w:val="en-US"/>
        </w:rPr>
      </w:pPr>
      <w:r w:rsidRPr="00B80E79">
        <w:rPr>
          <w:lang w:val="en-US"/>
        </w:rPr>
        <w:t>Source: Ministry of Public Works and own elaboration</w:t>
      </w:r>
    </w:p>
    <w:p w:rsidR="00B80E79" w:rsidRPr="00B80E79" w:rsidRDefault="00B80E79" w:rsidP="00B80E79">
      <w:pPr>
        <w:autoSpaceDE w:val="0"/>
        <w:autoSpaceDN w:val="0"/>
        <w:adjustRightInd w:val="0"/>
        <w:spacing w:before="120" w:after="120" w:line="360" w:lineRule="auto"/>
        <w:jc w:val="both"/>
        <w:rPr>
          <w:lang w:val="en-US"/>
        </w:rPr>
      </w:pPr>
    </w:p>
    <w:p w:rsidR="00B80E79" w:rsidRPr="00B80E79" w:rsidRDefault="00B80E79" w:rsidP="00B80E79">
      <w:pPr>
        <w:autoSpaceDE w:val="0"/>
        <w:autoSpaceDN w:val="0"/>
        <w:adjustRightInd w:val="0"/>
        <w:spacing w:before="120" w:after="120" w:line="360" w:lineRule="auto"/>
        <w:jc w:val="both"/>
        <w:rPr>
          <w:b/>
          <w:lang w:val="en-US"/>
        </w:rPr>
      </w:pPr>
      <w:r w:rsidRPr="00B80E79">
        <w:rPr>
          <w:b/>
          <w:lang w:val="en-US"/>
        </w:rPr>
        <w:t>Econometric strategy</w:t>
      </w:r>
    </w:p>
    <w:p w:rsidR="00B80E79" w:rsidRPr="00B80E79" w:rsidRDefault="00B80E79" w:rsidP="00B80E79">
      <w:pPr>
        <w:autoSpaceDE w:val="0"/>
        <w:autoSpaceDN w:val="0"/>
        <w:adjustRightInd w:val="0"/>
        <w:spacing w:before="120" w:after="120" w:line="360" w:lineRule="auto"/>
        <w:jc w:val="both"/>
        <w:rPr>
          <w:b/>
          <w:i/>
          <w:lang w:val="en-US"/>
        </w:rPr>
      </w:pPr>
      <w:r w:rsidRPr="00B80E79">
        <w:rPr>
          <w:b/>
          <w:i/>
          <w:lang w:val="en-US"/>
        </w:rPr>
        <w:t>Model Specification</w:t>
      </w:r>
    </w:p>
    <w:p w:rsidR="00B80E79" w:rsidRPr="00B80E79" w:rsidRDefault="00B80E79" w:rsidP="00B80E79">
      <w:pPr>
        <w:autoSpaceDE w:val="0"/>
        <w:autoSpaceDN w:val="0"/>
        <w:adjustRightInd w:val="0"/>
        <w:spacing w:before="120" w:after="120" w:line="360" w:lineRule="auto"/>
        <w:jc w:val="both"/>
        <w:rPr>
          <w:lang w:val="en-US"/>
        </w:rPr>
      </w:pPr>
      <w:r w:rsidRPr="00B80E79">
        <w:rPr>
          <w:lang w:val="en-US"/>
        </w:rPr>
        <w:t xml:space="preserve">The empirical strategy builds on the considerations discussed in the previous sections. Our main objective is to determine the influence of the ratio of affordable dwellings to market dwellings on housing market prices. We estimate the following model: </w:t>
      </w:r>
    </w:p>
    <w:p w:rsidR="00B80E79" w:rsidRPr="00B80E79" w:rsidRDefault="00B80E79" w:rsidP="00B80E79">
      <w:pPr>
        <w:tabs>
          <w:tab w:val="left" w:pos="7371"/>
        </w:tabs>
        <w:autoSpaceDE w:val="0"/>
        <w:autoSpaceDN w:val="0"/>
        <w:adjustRightInd w:val="0"/>
        <w:spacing w:before="120" w:after="120" w:line="360" w:lineRule="auto"/>
        <w:ind w:right="1133"/>
        <w:jc w:val="both"/>
        <w:rPr>
          <w:lang w:val="en-US"/>
        </w:rPr>
      </w:pPr>
    </w:p>
    <w:p w:rsidR="00B80E79" w:rsidRPr="00B80E79" w:rsidRDefault="00B80E79" w:rsidP="00B80E79">
      <w:pPr>
        <w:tabs>
          <w:tab w:val="left" w:pos="7371"/>
        </w:tabs>
        <w:autoSpaceDE w:val="0"/>
        <w:autoSpaceDN w:val="0"/>
        <w:adjustRightInd w:val="0"/>
        <w:spacing w:before="120" w:after="120" w:line="360" w:lineRule="auto"/>
        <w:ind w:right="1133"/>
        <w:jc w:val="both"/>
        <w:rPr>
          <w:lang w:val="en-US"/>
        </w:rPr>
      </w:pPr>
      <w:proofErr w:type="spellStart"/>
      <w:proofErr w:type="gramStart"/>
      <w:r w:rsidRPr="00B80E79">
        <w:rPr>
          <w:lang w:val="en-US"/>
        </w:rPr>
        <w:t>logHP</w:t>
      </w:r>
      <w:r w:rsidRPr="00B80E79">
        <w:rPr>
          <w:vertAlign w:val="subscript"/>
          <w:lang w:val="en-US"/>
        </w:rPr>
        <w:t>i,</w:t>
      </w:r>
      <w:proofErr w:type="gramEnd"/>
      <w:r w:rsidRPr="00B80E79">
        <w:rPr>
          <w:vertAlign w:val="subscript"/>
          <w:lang w:val="en-US"/>
        </w:rPr>
        <w:t>t</w:t>
      </w:r>
      <w:proofErr w:type="spellEnd"/>
      <w:r w:rsidRPr="00B80E79">
        <w:rPr>
          <w:lang w:val="en-US"/>
        </w:rPr>
        <w:t xml:space="preserve"> = β</w:t>
      </w:r>
      <w:r w:rsidRPr="00B80E79">
        <w:rPr>
          <w:vertAlign w:val="subscript"/>
          <w:lang w:val="en-US"/>
        </w:rPr>
        <w:t xml:space="preserve">0 </w:t>
      </w:r>
      <w:r w:rsidRPr="00B80E79">
        <w:rPr>
          <w:lang w:val="en-US"/>
        </w:rPr>
        <w:t>+ β</w:t>
      </w:r>
      <w:r w:rsidRPr="00B80E79">
        <w:rPr>
          <w:vertAlign w:val="subscript"/>
          <w:lang w:val="en-US"/>
        </w:rPr>
        <w:t>1</w:t>
      </w:r>
      <w:r w:rsidRPr="00B80E79">
        <w:rPr>
          <w:lang w:val="en-US"/>
        </w:rPr>
        <w:t>logHP</w:t>
      </w:r>
      <w:r w:rsidRPr="00B80E79">
        <w:rPr>
          <w:vertAlign w:val="subscript"/>
          <w:lang w:val="en-US"/>
        </w:rPr>
        <w:t>i,t-1</w:t>
      </w:r>
      <w:r w:rsidRPr="00B80E79">
        <w:rPr>
          <w:lang w:val="en-US"/>
        </w:rPr>
        <w:t xml:space="preserve"> +β</w:t>
      </w:r>
      <w:r w:rsidRPr="00B80E79">
        <w:rPr>
          <w:vertAlign w:val="subscript"/>
          <w:lang w:val="en-US"/>
        </w:rPr>
        <w:t>3</w:t>
      </w:r>
      <w:r w:rsidRPr="00B80E79">
        <w:rPr>
          <w:lang w:val="en-US"/>
        </w:rPr>
        <w:t>ratio_affordable</w:t>
      </w:r>
      <w:r w:rsidRPr="00B80E79">
        <w:rPr>
          <w:vertAlign w:val="subscript"/>
          <w:lang w:val="en-US"/>
        </w:rPr>
        <w:t xml:space="preserve">i,t </w:t>
      </w:r>
      <w:r w:rsidRPr="00B80E79">
        <w:rPr>
          <w:lang w:val="en-US"/>
        </w:rPr>
        <w:t>+ β</w:t>
      </w:r>
      <w:r w:rsidRPr="00B80E79">
        <w:rPr>
          <w:vertAlign w:val="subscript"/>
          <w:lang w:val="en-US"/>
        </w:rPr>
        <w:t>4</w:t>
      </w:r>
      <w:r w:rsidRPr="00B80E79">
        <w:rPr>
          <w:lang w:val="en-US"/>
        </w:rPr>
        <w:t>sq_ratio_affordable</w:t>
      </w:r>
      <w:r w:rsidRPr="00B80E79">
        <w:rPr>
          <w:vertAlign w:val="subscript"/>
          <w:lang w:val="en-US"/>
        </w:rPr>
        <w:t>i,t+</w:t>
      </w:r>
      <w:r w:rsidRPr="00B80E79">
        <w:rPr>
          <w:lang w:val="en-US"/>
        </w:rPr>
        <w:t xml:space="preserve"> β</w:t>
      </w:r>
      <w:r w:rsidRPr="00B80E79">
        <w:rPr>
          <w:vertAlign w:val="subscript"/>
          <w:lang w:val="en-US"/>
        </w:rPr>
        <w:t>5</w:t>
      </w:r>
      <w:r w:rsidRPr="00B80E79">
        <w:rPr>
          <w:lang w:val="en-US"/>
        </w:rPr>
        <w:t>X</w:t>
      </w:r>
      <w:r w:rsidRPr="00B80E79">
        <w:rPr>
          <w:vertAlign w:val="subscript"/>
          <w:lang w:val="en-US"/>
        </w:rPr>
        <w:t>i,t</w:t>
      </w:r>
      <w:r w:rsidRPr="00B80E79">
        <w:rPr>
          <w:lang w:val="en-US"/>
        </w:rPr>
        <w:t xml:space="preserve"> + </w:t>
      </w:r>
      <w:proofErr w:type="spellStart"/>
      <w:r w:rsidRPr="00B80E79">
        <w:rPr>
          <w:lang w:val="en-US"/>
        </w:rPr>
        <w:t>η</w:t>
      </w:r>
      <w:r w:rsidRPr="00B80E79">
        <w:rPr>
          <w:vertAlign w:val="subscript"/>
          <w:lang w:val="en-US"/>
        </w:rPr>
        <w:t>i</w:t>
      </w:r>
      <w:proofErr w:type="spellEnd"/>
      <w:r w:rsidRPr="00B80E79">
        <w:rPr>
          <w:lang w:val="en-US"/>
        </w:rPr>
        <w:t xml:space="preserve"> + </w:t>
      </w:r>
      <w:proofErr w:type="spellStart"/>
      <w:r w:rsidRPr="00B80E79">
        <w:rPr>
          <w:lang w:val="en-US"/>
        </w:rPr>
        <w:t>ε</w:t>
      </w:r>
      <w:r w:rsidRPr="00B80E79">
        <w:rPr>
          <w:vertAlign w:val="subscript"/>
          <w:lang w:val="en-US"/>
        </w:rPr>
        <w:t>i,t</w:t>
      </w:r>
      <w:proofErr w:type="spellEnd"/>
      <w:r w:rsidRPr="00B80E79">
        <w:rPr>
          <w:vertAlign w:val="subscript"/>
          <w:lang w:val="en-US"/>
        </w:rPr>
        <w:t xml:space="preserve"> </w:t>
      </w:r>
      <w:r w:rsidRPr="00B80E79">
        <w:rPr>
          <w:lang w:val="en-US"/>
        </w:rPr>
        <w:tab/>
        <w:t>(1)</w:t>
      </w:r>
    </w:p>
    <w:p w:rsidR="00B80E79" w:rsidRPr="00B80E79" w:rsidRDefault="00B80E79" w:rsidP="00B80E79">
      <w:pPr>
        <w:autoSpaceDE w:val="0"/>
        <w:autoSpaceDN w:val="0"/>
        <w:adjustRightInd w:val="0"/>
        <w:spacing w:before="120" w:after="120" w:line="360" w:lineRule="auto"/>
        <w:jc w:val="both"/>
        <w:rPr>
          <w:lang w:val="en-US"/>
        </w:rPr>
      </w:pPr>
    </w:p>
    <w:p w:rsidR="00B80E79" w:rsidRPr="00B80E79" w:rsidRDefault="00B80E79" w:rsidP="00B80E79">
      <w:pPr>
        <w:spacing w:before="120" w:after="120" w:line="360" w:lineRule="auto"/>
        <w:ind w:firstLine="708"/>
        <w:jc w:val="both"/>
        <w:rPr>
          <w:lang w:val="en-US"/>
        </w:rPr>
      </w:pPr>
      <w:proofErr w:type="gramStart"/>
      <w:r w:rsidRPr="00B80E79">
        <w:rPr>
          <w:iCs/>
          <w:lang w:val="en-US"/>
        </w:rPr>
        <w:t>with</w:t>
      </w:r>
      <w:proofErr w:type="gramEnd"/>
      <w:r w:rsidRPr="00B80E79">
        <w:rPr>
          <w:iCs/>
          <w:lang w:val="en-US"/>
        </w:rPr>
        <w:t xml:space="preserve"> </w:t>
      </w:r>
      <w:proofErr w:type="spellStart"/>
      <w:r w:rsidRPr="00B80E79">
        <w:rPr>
          <w:iCs/>
          <w:lang w:val="en-US"/>
        </w:rPr>
        <w:t>i</w:t>
      </w:r>
      <w:proofErr w:type="spellEnd"/>
      <w:r w:rsidRPr="00B80E79">
        <w:rPr>
          <w:iCs/>
          <w:lang w:val="en-US"/>
        </w:rPr>
        <w:t xml:space="preserve">=1, …,N indicating the province and t = 1, …, T indicating the time periods, respectively. </w:t>
      </w:r>
      <w:proofErr w:type="spellStart"/>
      <w:proofErr w:type="gramStart"/>
      <w:r w:rsidRPr="00B80E79">
        <w:rPr>
          <w:iCs/>
          <w:lang w:val="en-US"/>
        </w:rPr>
        <w:t>logHP</w:t>
      </w:r>
      <w:r w:rsidRPr="00B80E79">
        <w:rPr>
          <w:vertAlign w:val="subscript"/>
          <w:lang w:val="en-US"/>
        </w:rPr>
        <w:t>it</w:t>
      </w:r>
      <w:proofErr w:type="spellEnd"/>
      <w:proofErr w:type="gramEnd"/>
      <w:r w:rsidRPr="00B80E79">
        <w:rPr>
          <w:iCs/>
          <w:lang w:val="en-US"/>
        </w:rPr>
        <w:t xml:space="preserve"> is the real housing market prices per square meter in province </w:t>
      </w:r>
      <w:proofErr w:type="spellStart"/>
      <w:r w:rsidRPr="00B80E79">
        <w:rPr>
          <w:iCs/>
          <w:lang w:val="en-US"/>
        </w:rPr>
        <w:t>i</w:t>
      </w:r>
      <w:proofErr w:type="spellEnd"/>
      <w:r w:rsidRPr="00B80E79">
        <w:rPr>
          <w:iCs/>
          <w:lang w:val="en-US"/>
        </w:rPr>
        <w:t xml:space="preserve"> in year t. Our main variable of interest is </w:t>
      </w:r>
      <w:r w:rsidRPr="00B80E79">
        <w:rPr>
          <w:lang w:val="en-US"/>
        </w:rPr>
        <w:t xml:space="preserve">the ratio of </w:t>
      </w:r>
      <w:r w:rsidRPr="00B80E79">
        <w:rPr>
          <w:iCs/>
          <w:lang w:val="en-US"/>
        </w:rPr>
        <w:t xml:space="preserve">affordable dwellings </w:t>
      </w:r>
      <w:r w:rsidRPr="00B80E79">
        <w:rPr>
          <w:lang w:val="en-US"/>
        </w:rPr>
        <w:t xml:space="preserve">completions </w:t>
      </w:r>
      <w:r w:rsidRPr="00B80E79">
        <w:rPr>
          <w:iCs/>
          <w:lang w:val="en-US"/>
        </w:rPr>
        <w:t>to market dwellings completions (</w:t>
      </w:r>
      <w:proofErr w:type="spellStart"/>
      <w:r w:rsidRPr="00B80E79">
        <w:rPr>
          <w:lang w:val="en-US"/>
        </w:rPr>
        <w:t>ratio_affordable</w:t>
      </w:r>
      <w:r w:rsidRPr="00B80E79">
        <w:rPr>
          <w:vertAlign w:val="subscript"/>
          <w:lang w:val="en-US"/>
        </w:rPr>
        <w:t>i</w:t>
      </w:r>
      <w:proofErr w:type="gramStart"/>
      <w:r w:rsidRPr="00B80E79">
        <w:rPr>
          <w:vertAlign w:val="subscript"/>
          <w:lang w:val="en-US"/>
        </w:rPr>
        <w:t>,t</w:t>
      </w:r>
      <w:proofErr w:type="spellEnd"/>
      <w:proofErr w:type="gramEnd"/>
      <w:r w:rsidRPr="00B80E79">
        <w:rPr>
          <w:lang w:val="en-US"/>
        </w:rPr>
        <w:t xml:space="preserve">). The </w:t>
      </w:r>
      <w:proofErr w:type="spellStart"/>
      <w:r w:rsidRPr="00B80E79">
        <w:rPr>
          <w:lang w:val="en-US"/>
        </w:rPr>
        <w:t>sq_ratio_affordable</w:t>
      </w:r>
      <w:r w:rsidRPr="00B80E79">
        <w:rPr>
          <w:vertAlign w:val="subscript"/>
          <w:lang w:val="en-US"/>
        </w:rPr>
        <w:t>i</w:t>
      </w:r>
      <w:proofErr w:type="gramStart"/>
      <w:r w:rsidRPr="00B80E79">
        <w:rPr>
          <w:vertAlign w:val="subscript"/>
          <w:lang w:val="en-US"/>
        </w:rPr>
        <w:t>,t</w:t>
      </w:r>
      <w:proofErr w:type="spellEnd"/>
      <w:proofErr w:type="gramEnd"/>
      <w:r w:rsidRPr="00B80E79">
        <w:rPr>
          <w:lang w:val="en-US"/>
        </w:rPr>
        <w:t xml:space="preserve"> is the squared of the variable ratio of </w:t>
      </w:r>
      <w:r w:rsidRPr="00B80E79">
        <w:rPr>
          <w:iCs/>
          <w:lang w:val="en-US"/>
        </w:rPr>
        <w:t xml:space="preserve">affordable dwellings </w:t>
      </w:r>
      <w:r w:rsidRPr="00B80E79">
        <w:rPr>
          <w:lang w:val="en-US"/>
        </w:rPr>
        <w:t xml:space="preserve">to account for a potential no-monotonic behavior of this variable. The vector </w:t>
      </w:r>
      <w:proofErr w:type="spellStart"/>
      <w:r w:rsidRPr="00B80E79">
        <w:rPr>
          <w:lang w:val="en-US"/>
        </w:rPr>
        <w:t>X</w:t>
      </w:r>
      <w:r w:rsidRPr="00B80E79">
        <w:rPr>
          <w:vertAlign w:val="subscript"/>
          <w:lang w:val="en-US"/>
        </w:rPr>
        <w:t>i</w:t>
      </w:r>
      <w:proofErr w:type="gramStart"/>
      <w:r w:rsidRPr="00B80E79">
        <w:rPr>
          <w:vertAlign w:val="subscript"/>
          <w:lang w:val="en-US"/>
        </w:rPr>
        <w:t>,t</w:t>
      </w:r>
      <w:proofErr w:type="spellEnd"/>
      <w:proofErr w:type="gramEnd"/>
      <w:r w:rsidRPr="00B80E79">
        <w:rPr>
          <w:lang w:val="en-US"/>
        </w:rPr>
        <w:t xml:space="preserve"> is the set of control variables defined in the previous section related to the characteristics of the provinces. These variables include mortgage interest rate, real disposable income and </w:t>
      </w:r>
      <w:r w:rsidRPr="00B80E79">
        <w:rPr>
          <w:lang w:val="en-US"/>
        </w:rPr>
        <w:lastRenderedPageBreak/>
        <w:t xml:space="preserve">growth of population. </w:t>
      </w:r>
      <w:proofErr w:type="spellStart"/>
      <w:proofErr w:type="gramStart"/>
      <w:r w:rsidRPr="00B80E79">
        <w:rPr>
          <w:lang w:val="en-US"/>
        </w:rPr>
        <w:t>η</w:t>
      </w:r>
      <w:r w:rsidRPr="00B80E79">
        <w:rPr>
          <w:vertAlign w:val="subscript"/>
          <w:lang w:val="en-US"/>
        </w:rPr>
        <w:t>i</w:t>
      </w:r>
      <w:proofErr w:type="spellEnd"/>
      <w:proofErr w:type="gramEnd"/>
      <w:r w:rsidRPr="00B80E79">
        <w:rPr>
          <w:iCs/>
          <w:lang w:val="en-US"/>
        </w:rPr>
        <w:t xml:space="preserve"> is a time constant unobservable province effect and</w:t>
      </w:r>
      <w:r w:rsidRPr="00B80E79">
        <w:rPr>
          <w:lang w:val="en-US"/>
        </w:rPr>
        <w:t xml:space="preserve"> </w:t>
      </w:r>
      <w:proofErr w:type="spellStart"/>
      <w:r w:rsidRPr="00B80E79">
        <w:rPr>
          <w:lang w:val="en-US"/>
        </w:rPr>
        <w:t>ε</w:t>
      </w:r>
      <w:r w:rsidRPr="00B80E79">
        <w:rPr>
          <w:vertAlign w:val="subscript"/>
          <w:lang w:val="en-US"/>
        </w:rPr>
        <w:t>i,t</w:t>
      </w:r>
      <w:proofErr w:type="spellEnd"/>
      <w:r w:rsidRPr="00B80E79">
        <w:rPr>
          <w:vertAlign w:val="subscript"/>
          <w:lang w:val="en-US"/>
        </w:rPr>
        <w:t xml:space="preserve"> </w:t>
      </w:r>
      <w:r w:rsidRPr="00B80E79">
        <w:rPr>
          <w:lang w:val="en-US"/>
        </w:rPr>
        <w:t>is the time-varying error term.</w:t>
      </w:r>
    </w:p>
    <w:p w:rsidR="00B80E79" w:rsidRPr="00B80E79" w:rsidRDefault="00B80E79" w:rsidP="00B80E79">
      <w:pPr>
        <w:spacing w:before="120" w:after="120" w:line="360" w:lineRule="auto"/>
        <w:ind w:firstLine="708"/>
        <w:jc w:val="both"/>
        <w:rPr>
          <w:lang w:val="en-US"/>
        </w:rPr>
      </w:pPr>
      <w:r w:rsidRPr="00B80E79">
        <w:rPr>
          <w:lang w:val="en-US"/>
        </w:rPr>
        <w:t xml:space="preserve">The variable mortgage interest rate </w:t>
      </w:r>
      <w:proofErr w:type="gramStart"/>
      <w:r w:rsidRPr="00B80E79">
        <w:rPr>
          <w:lang w:val="en-US"/>
        </w:rPr>
        <w:t>is also used</w:t>
      </w:r>
      <w:proofErr w:type="gramEnd"/>
      <w:r w:rsidRPr="00B80E79">
        <w:rPr>
          <w:lang w:val="en-US"/>
        </w:rPr>
        <w:t xml:space="preserve"> as a proxy for the macroeconomic shocks that affect all Spanish regions. We decided to use this variable instead of including time dummies because the latter ones induce collinearity with variables that do not vary within cross-sectional units, as it is the case of the mortgage interest rate. An alternative would be to replace the time dummies with a linear trend. This is not possible either however, because the mortgage interest rate is highly correlated with the linear time trend. This solution </w:t>
      </w:r>
      <w:proofErr w:type="gramStart"/>
      <w:r w:rsidRPr="00B80E79">
        <w:rPr>
          <w:lang w:val="en-US"/>
        </w:rPr>
        <w:t>is found</w:t>
      </w:r>
      <w:proofErr w:type="gramEnd"/>
      <w:r w:rsidRPr="00B80E79">
        <w:rPr>
          <w:lang w:val="en-US"/>
        </w:rPr>
        <w:t xml:space="preserve"> in various works (Farrell &amp; </w:t>
      </w:r>
      <w:proofErr w:type="spellStart"/>
      <w:r w:rsidRPr="00B80E79">
        <w:rPr>
          <w:lang w:val="en-US"/>
        </w:rPr>
        <w:t>Hersch</w:t>
      </w:r>
      <w:proofErr w:type="spellEnd"/>
      <w:r w:rsidRPr="00B80E79">
        <w:rPr>
          <w:lang w:val="en-US"/>
        </w:rPr>
        <w:t xml:space="preserve">, 2005). It </w:t>
      </w:r>
      <w:proofErr w:type="gramStart"/>
      <w:r w:rsidRPr="00B80E79">
        <w:rPr>
          <w:lang w:val="en-US"/>
        </w:rPr>
        <w:t>is expected</w:t>
      </w:r>
      <w:proofErr w:type="gramEnd"/>
      <w:r w:rsidRPr="00B80E79">
        <w:rPr>
          <w:lang w:val="en-US"/>
        </w:rPr>
        <w:t xml:space="preserve"> that annual growth of population and real disposable income will push housing prices up while mortgage interest rate will push housing prices down. Table 2 presents some descriptive statistics of the variables.</w:t>
      </w:r>
    </w:p>
    <w:p w:rsidR="00B80E79" w:rsidRPr="00B80E79" w:rsidRDefault="00B80E79" w:rsidP="00B80E79">
      <w:pPr>
        <w:autoSpaceDE w:val="0"/>
        <w:autoSpaceDN w:val="0"/>
        <w:adjustRightInd w:val="0"/>
        <w:spacing w:before="120" w:after="120" w:line="360" w:lineRule="auto"/>
        <w:jc w:val="both"/>
        <w:rPr>
          <w:lang w:val="en-US"/>
        </w:rPr>
      </w:pPr>
    </w:p>
    <w:p w:rsidR="00B80E79" w:rsidRPr="00B80E79" w:rsidRDefault="00B80E79" w:rsidP="00B80E79">
      <w:pPr>
        <w:keepNext/>
        <w:autoSpaceDE w:val="0"/>
        <w:autoSpaceDN w:val="0"/>
        <w:adjustRightInd w:val="0"/>
        <w:spacing w:before="120" w:after="120" w:line="360" w:lineRule="auto"/>
        <w:jc w:val="center"/>
        <w:rPr>
          <w:sz w:val="22"/>
          <w:szCs w:val="22"/>
          <w:lang w:val="en-US"/>
        </w:rPr>
      </w:pPr>
      <w:r w:rsidRPr="00B80E79">
        <w:rPr>
          <w:sz w:val="22"/>
          <w:szCs w:val="22"/>
          <w:lang w:val="en-US"/>
        </w:rPr>
        <w:t>Table 2. Descriptive statistics. Average values for the period 1995-2010</w:t>
      </w:r>
    </w:p>
    <w:tbl>
      <w:tblPr>
        <w:tblW w:w="4549"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CellMar>
          <w:left w:w="70" w:type="dxa"/>
          <w:right w:w="70" w:type="dxa"/>
        </w:tblCellMar>
        <w:tblLook w:val="04A0" w:firstRow="1" w:lastRow="0" w:firstColumn="1" w:lastColumn="0" w:noHBand="0" w:noVBand="1"/>
      </w:tblPr>
      <w:tblGrid>
        <w:gridCol w:w="3997"/>
        <w:gridCol w:w="621"/>
        <w:gridCol w:w="758"/>
        <w:gridCol w:w="972"/>
        <w:gridCol w:w="758"/>
        <w:gridCol w:w="758"/>
      </w:tblGrid>
      <w:tr w:rsidR="00B80E79" w:rsidRPr="00CA75B1" w:rsidTr="00B95B72">
        <w:trPr>
          <w:trHeight w:val="252"/>
        </w:trPr>
        <w:tc>
          <w:tcPr>
            <w:tcW w:w="2541" w:type="pct"/>
            <w:shd w:val="clear" w:color="auto" w:fill="auto"/>
            <w:noWrap/>
            <w:vAlign w:val="bottom"/>
            <w:hideMark/>
          </w:tcPr>
          <w:p w:rsidR="00B80E79" w:rsidRPr="00CA75B1" w:rsidRDefault="00B80E79" w:rsidP="00B95B72">
            <w:pPr>
              <w:keepNext/>
              <w:jc w:val="both"/>
              <w:rPr>
                <w:color w:val="000000"/>
                <w:sz w:val="18"/>
                <w:szCs w:val="22"/>
              </w:rPr>
            </w:pPr>
            <w:r w:rsidRPr="00CA75B1">
              <w:rPr>
                <w:color w:val="000000"/>
                <w:sz w:val="18"/>
                <w:szCs w:val="22"/>
              </w:rPr>
              <w:t>Variable</w:t>
            </w:r>
          </w:p>
        </w:tc>
        <w:tc>
          <w:tcPr>
            <w:tcW w:w="395" w:type="pct"/>
            <w:shd w:val="clear" w:color="auto" w:fill="auto"/>
            <w:noWrap/>
            <w:vAlign w:val="bottom"/>
            <w:hideMark/>
          </w:tcPr>
          <w:p w:rsidR="00B80E79" w:rsidRPr="00CA75B1" w:rsidRDefault="00B80E79" w:rsidP="00B95B72">
            <w:pPr>
              <w:keepNext/>
              <w:jc w:val="center"/>
              <w:rPr>
                <w:color w:val="000000"/>
                <w:sz w:val="18"/>
                <w:szCs w:val="22"/>
              </w:rPr>
            </w:pPr>
            <w:proofErr w:type="spellStart"/>
            <w:r w:rsidRPr="00CA75B1">
              <w:rPr>
                <w:color w:val="000000"/>
                <w:sz w:val="18"/>
                <w:szCs w:val="22"/>
              </w:rPr>
              <w:t>Obs</w:t>
            </w:r>
            <w:proofErr w:type="spellEnd"/>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Mean</w:t>
            </w:r>
          </w:p>
        </w:tc>
        <w:tc>
          <w:tcPr>
            <w:tcW w:w="618" w:type="pct"/>
            <w:shd w:val="clear" w:color="auto" w:fill="auto"/>
            <w:noWrap/>
            <w:vAlign w:val="bottom"/>
            <w:hideMark/>
          </w:tcPr>
          <w:p w:rsidR="00B80E79" w:rsidRPr="00CA75B1" w:rsidRDefault="00B80E79" w:rsidP="00B95B72">
            <w:pPr>
              <w:keepNext/>
              <w:jc w:val="center"/>
              <w:rPr>
                <w:color w:val="000000"/>
                <w:sz w:val="18"/>
                <w:szCs w:val="22"/>
              </w:rPr>
            </w:pPr>
            <w:proofErr w:type="spellStart"/>
            <w:r w:rsidRPr="00CA75B1">
              <w:rPr>
                <w:color w:val="000000"/>
                <w:sz w:val="18"/>
                <w:szCs w:val="22"/>
              </w:rPr>
              <w:t>Std</w:t>
            </w:r>
            <w:proofErr w:type="spellEnd"/>
            <w:r w:rsidRPr="00CA75B1">
              <w:rPr>
                <w:color w:val="000000"/>
                <w:sz w:val="18"/>
                <w:szCs w:val="22"/>
              </w:rPr>
              <w:t xml:space="preserve">. </w:t>
            </w:r>
            <w:proofErr w:type="spellStart"/>
            <w:r w:rsidRPr="00CA75B1">
              <w:rPr>
                <w:color w:val="000000"/>
                <w:sz w:val="18"/>
                <w:szCs w:val="22"/>
              </w:rPr>
              <w:t>Dev</w:t>
            </w:r>
            <w:proofErr w:type="spellEnd"/>
            <w:r w:rsidRPr="00CA75B1">
              <w:rPr>
                <w:color w:val="000000"/>
                <w:sz w:val="18"/>
                <w:szCs w:val="22"/>
              </w:rPr>
              <w:t>.</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Min</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Max</w:t>
            </w:r>
          </w:p>
        </w:tc>
      </w:tr>
      <w:tr w:rsidR="00B80E79" w:rsidRPr="00CA75B1" w:rsidTr="00B95B72">
        <w:trPr>
          <w:trHeight w:val="252"/>
        </w:trPr>
        <w:tc>
          <w:tcPr>
            <w:tcW w:w="2541" w:type="pct"/>
            <w:shd w:val="clear" w:color="auto" w:fill="auto"/>
            <w:noWrap/>
            <w:hideMark/>
          </w:tcPr>
          <w:p w:rsidR="00B80E79" w:rsidRPr="00CA75B1" w:rsidRDefault="00B80E79" w:rsidP="00B95B72">
            <w:pPr>
              <w:keepNext/>
              <w:autoSpaceDE w:val="0"/>
              <w:autoSpaceDN w:val="0"/>
              <w:adjustRightInd w:val="0"/>
              <w:jc w:val="both"/>
              <w:rPr>
                <w:sz w:val="18"/>
                <w:szCs w:val="20"/>
                <w:lang w:val="en-US"/>
              </w:rPr>
            </w:pPr>
            <w:r w:rsidRPr="00CA75B1">
              <w:rPr>
                <w:sz w:val="18"/>
                <w:szCs w:val="20"/>
                <w:lang w:val="en-US"/>
              </w:rPr>
              <w:t>Real</w:t>
            </w:r>
            <w:r>
              <w:rPr>
                <w:sz w:val="18"/>
                <w:szCs w:val="20"/>
                <w:lang w:val="en-US"/>
              </w:rPr>
              <w:t xml:space="preserve"> housing market prices per square meter</w:t>
            </w:r>
          </w:p>
        </w:tc>
        <w:tc>
          <w:tcPr>
            <w:tcW w:w="395"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800</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7.107</w:t>
            </w:r>
          </w:p>
        </w:tc>
        <w:tc>
          <w:tcPr>
            <w:tcW w:w="618"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.373</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6.34</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8.058</w:t>
            </w:r>
          </w:p>
        </w:tc>
      </w:tr>
      <w:tr w:rsidR="00B80E79" w:rsidRPr="00CA75B1" w:rsidTr="00B95B72">
        <w:trPr>
          <w:trHeight w:val="252"/>
        </w:trPr>
        <w:tc>
          <w:tcPr>
            <w:tcW w:w="2541" w:type="pct"/>
            <w:shd w:val="clear" w:color="auto" w:fill="auto"/>
            <w:noWrap/>
            <w:hideMark/>
          </w:tcPr>
          <w:p w:rsidR="00B80E79" w:rsidRPr="00CA75B1" w:rsidRDefault="00B80E79" w:rsidP="00B95B72">
            <w:pPr>
              <w:keepNext/>
              <w:autoSpaceDE w:val="0"/>
              <w:autoSpaceDN w:val="0"/>
              <w:adjustRightInd w:val="0"/>
              <w:jc w:val="both"/>
              <w:rPr>
                <w:sz w:val="18"/>
                <w:szCs w:val="20"/>
                <w:lang w:val="en-US"/>
              </w:rPr>
            </w:pPr>
            <w:r w:rsidRPr="00CA75B1">
              <w:rPr>
                <w:sz w:val="18"/>
                <w:szCs w:val="20"/>
                <w:lang w:val="en-US"/>
              </w:rPr>
              <w:t xml:space="preserve">Ratio </w:t>
            </w:r>
            <w:r>
              <w:rPr>
                <w:sz w:val="18"/>
                <w:szCs w:val="20"/>
                <w:lang w:val="en-US"/>
              </w:rPr>
              <w:t>affordable</w:t>
            </w:r>
            <w:r w:rsidRPr="00CA75B1">
              <w:rPr>
                <w:sz w:val="18"/>
                <w:szCs w:val="20"/>
                <w:lang w:val="en-US"/>
              </w:rPr>
              <w:t xml:space="preserve"> dwelling</w:t>
            </w:r>
          </w:p>
        </w:tc>
        <w:tc>
          <w:tcPr>
            <w:tcW w:w="395"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800</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.219</w:t>
            </w:r>
          </w:p>
        </w:tc>
        <w:tc>
          <w:tcPr>
            <w:tcW w:w="618"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.284</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0</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4.405</w:t>
            </w:r>
          </w:p>
        </w:tc>
      </w:tr>
      <w:tr w:rsidR="00B80E79" w:rsidRPr="00CA75B1" w:rsidTr="00B95B72">
        <w:trPr>
          <w:trHeight w:val="252"/>
        </w:trPr>
        <w:tc>
          <w:tcPr>
            <w:tcW w:w="2541" w:type="pct"/>
            <w:shd w:val="clear" w:color="auto" w:fill="auto"/>
            <w:noWrap/>
            <w:hideMark/>
          </w:tcPr>
          <w:p w:rsidR="00B80E79" w:rsidRPr="00CA75B1" w:rsidRDefault="00B80E79" w:rsidP="00B95B72">
            <w:pPr>
              <w:keepNext/>
              <w:autoSpaceDE w:val="0"/>
              <w:autoSpaceDN w:val="0"/>
              <w:adjustRightInd w:val="0"/>
              <w:jc w:val="both"/>
              <w:rPr>
                <w:sz w:val="18"/>
                <w:szCs w:val="20"/>
                <w:lang w:val="en-US"/>
              </w:rPr>
            </w:pPr>
            <w:r w:rsidRPr="00CA75B1">
              <w:rPr>
                <w:sz w:val="18"/>
                <w:szCs w:val="20"/>
                <w:lang w:val="en-US"/>
              </w:rPr>
              <w:t xml:space="preserve">Squared Ratio </w:t>
            </w:r>
            <w:r>
              <w:rPr>
                <w:sz w:val="18"/>
                <w:szCs w:val="20"/>
                <w:lang w:val="en-US"/>
              </w:rPr>
              <w:t>affordable</w:t>
            </w:r>
            <w:r w:rsidRPr="00CA75B1">
              <w:rPr>
                <w:sz w:val="18"/>
                <w:szCs w:val="20"/>
                <w:lang w:val="en-US"/>
              </w:rPr>
              <w:t xml:space="preserve"> dwelling</w:t>
            </w:r>
          </w:p>
        </w:tc>
        <w:tc>
          <w:tcPr>
            <w:tcW w:w="395"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800</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.128</w:t>
            </w:r>
          </w:p>
        </w:tc>
        <w:tc>
          <w:tcPr>
            <w:tcW w:w="618"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.734</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0</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19.405</w:t>
            </w:r>
          </w:p>
        </w:tc>
      </w:tr>
      <w:tr w:rsidR="00B80E79" w:rsidRPr="00CA75B1" w:rsidTr="00B95B72">
        <w:trPr>
          <w:trHeight w:val="252"/>
        </w:trPr>
        <w:tc>
          <w:tcPr>
            <w:tcW w:w="2541" w:type="pct"/>
            <w:shd w:val="clear" w:color="auto" w:fill="auto"/>
            <w:noWrap/>
            <w:hideMark/>
          </w:tcPr>
          <w:p w:rsidR="00B80E79" w:rsidRPr="00CA75B1" w:rsidRDefault="00B80E79" w:rsidP="00B95B72">
            <w:pPr>
              <w:keepNext/>
              <w:autoSpaceDE w:val="0"/>
              <w:autoSpaceDN w:val="0"/>
              <w:adjustRightInd w:val="0"/>
              <w:jc w:val="both"/>
              <w:rPr>
                <w:sz w:val="18"/>
                <w:szCs w:val="20"/>
                <w:lang w:val="en-US"/>
              </w:rPr>
            </w:pPr>
            <w:r w:rsidRPr="00CA75B1">
              <w:rPr>
                <w:sz w:val="18"/>
                <w:szCs w:val="20"/>
                <w:lang w:val="en-US"/>
              </w:rPr>
              <w:sym w:font="Wingdings 3" w:char="F072"/>
            </w:r>
            <w:r w:rsidRPr="00CA75B1">
              <w:rPr>
                <w:sz w:val="18"/>
                <w:szCs w:val="20"/>
                <w:lang w:val="en-US"/>
              </w:rPr>
              <w:t>population</w:t>
            </w:r>
          </w:p>
        </w:tc>
        <w:tc>
          <w:tcPr>
            <w:tcW w:w="395"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750</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.862</w:t>
            </w:r>
          </w:p>
        </w:tc>
        <w:tc>
          <w:tcPr>
            <w:tcW w:w="618"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1.151</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-.9764</w:t>
            </w:r>
          </w:p>
        </w:tc>
        <w:tc>
          <w:tcPr>
            <w:tcW w:w="482" w:type="pct"/>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5.578</w:t>
            </w:r>
          </w:p>
        </w:tc>
      </w:tr>
      <w:tr w:rsidR="00B80E79" w:rsidRPr="00CA75B1" w:rsidTr="00B95B72">
        <w:trPr>
          <w:trHeight w:val="252"/>
        </w:trPr>
        <w:tc>
          <w:tcPr>
            <w:tcW w:w="2541" w:type="pct"/>
            <w:tcBorders>
              <w:bottom w:val="single" w:sz="4" w:space="0" w:color="BFBFBF" w:themeColor="background1" w:themeShade="BF"/>
            </w:tcBorders>
            <w:shd w:val="clear" w:color="auto" w:fill="auto"/>
            <w:noWrap/>
            <w:hideMark/>
          </w:tcPr>
          <w:p w:rsidR="00B80E79" w:rsidRPr="00CA75B1" w:rsidRDefault="00B80E79" w:rsidP="00B95B72">
            <w:pPr>
              <w:keepNext/>
              <w:autoSpaceDE w:val="0"/>
              <w:autoSpaceDN w:val="0"/>
              <w:adjustRightInd w:val="0"/>
              <w:jc w:val="both"/>
              <w:rPr>
                <w:sz w:val="18"/>
                <w:szCs w:val="20"/>
                <w:lang w:val="en-US"/>
              </w:rPr>
            </w:pPr>
            <w:r w:rsidRPr="00CA75B1">
              <w:rPr>
                <w:sz w:val="18"/>
                <w:szCs w:val="20"/>
                <w:lang w:val="en-US"/>
              </w:rPr>
              <w:t>Real disposable income</w:t>
            </w:r>
          </w:p>
        </w:tc>
        <w:tc>
          <w:tcPr>
            <w:tcW w:w="395" w:type="pct"/>
            <w:tcBorders>
              <w:bottom w:val="single" w:sz="4" w:space="0" w:color="BFBFBF" w:themeColor="background1" w:themeShade="BF"/>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800</w:t>
            </w:r>
          </w:p>
        </w:tc>
        <w:tc>
          <w:tcPr>
            <w:tcW w:w="482" w:type="pct"/>
            <w:tcBorders>
              <w:bottom w:val="single" w:sz="4" w:space="0" w:color="BFBFBF" w:themeColor="background1" w:themeShade="BF"/>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15.839</w:t>
            </w:r>
          </w:p>
        </w:tc>
        <w:tc>
          <w:tcPr>
            <w:tcW w:w="618" w:type="pct"/>
            <w:tcBorders>
              <w:bottom w:val="single" w:sz="4" w:space="0" w:color="BFBFBF" w:themeColor="background1" w:themeShade="BF"/>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.857</w:t>
            </w:r>
          </w:p>
        </w:tc>
        <w:tc>
          <w:tcPr>
            <w:tcW w:w="482" w:type="pct"/>
            <w:tcBorders>
              <w:bottom w:val="single" w:sz="4" w:space="0" w:color="BFBFBF" w:themeColor="background1" w:themeShade="BF"/>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13.975</w:t>
            </w:r>
          </w:p>
        </w:tc>
        <w:tc>
          <w:tcPr>
            <w:tcW w:w="482" w:type="pct"/>
            <w:tcBorders>
              <w:bottom w:val="single" w:sz="4" w:space="0" w:color="BFBFBF" w:themeColor="background1" w:themeShade="BF"/>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18.590</w:t>
            </w:r>
          </w:p>
        </w:tc>
      </w:tr>
      <w:tr w:rsidR="00B80E79" w:rsidRPr="00CA75B1" w:rsidTr="00B95B72">
        <w:trPr>
          <w:trHeight w:val="267"/>
        </w:trPr>
        <w:tc>
          <w:tcPr>
            <w:tcW w:w="2541" w:type="pct"/>
            <w:tcBorders>
              <w:top w:val="single" w:sz="4" w:space="0" w:color="BFBFBF" w:themeColor="background1" w:themeShade="BF"/>
              <w:bottom w:val="single" w:sz="4" w:space="0" w:color="BFBFBF" w:themeColor="background1" w:themeShade="BF"/>
              <w:right w:val="nil"/>
            </w:tcBorders>
            <w:shd w:val="clear" w:color="auto" w:fill="auto"/>
            <w:noWrap/>
            <w:hideMark/>
          </w:tcPr>
          <w:p w:rsidR="00B80E79" w:rsidRPr="00CA75B1" w:rsidRDefault="00B80E79" w:rsidP="00B95B72">
            <w:pPr>
              <w:keepNext/>
              <w:autoSpaceDE w:val="0"/>
              <w:autoSpaceDN w:val="0"/>
              <w:adjustRightInd w:val="0"/>
              <w:jc w:val="both"/>
              <w:rPr>
                <w:sz w:val="18"/>
                <w:szCs w:val="20"/>
                <w:lang w:val="en-US"/>
              </w:rPr>
            </w:pPr>
            <w:r w:rsidRPr="00CA75B1">
              <w:rPr>
                <w:sz w:val="18"/>
                <w:szCs w:val="20"/>
                <w:lang w:val="en-US"/>
              </w:rPr>
              <w:t>Mortgage rate</w:t>
            </w:r>
          </w:p>
        </w:tc>
        <w:tc>
          <w:tcPr>
            <w:tcW w:w="395" w:type="pct"/>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800</w:t>
            </w:r>
          </w:p>
        </w:tc>
        <w:tc>
          <w:tcPr>
            <w:tcW w:w="482" w:type="pct"/>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5.370</w:t>
            </w:r>
          </w:p>
        </w:tc>
        <w:tc>
          <w:tcPr>
            <w:tcW w:w="618" w:type="pct"/>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2.175</w:t>
            </w:r>
          </w:p>
        </w:tc>
        <w:tc>
          <w:tcPr>
            <w:tcW w:w="482" w:type="pct"/>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2.769</w:t>
            </w:r>
          </w:p>
        </w:tc>
        <w:tc>
          <w:tcPr>
            <w:tcW w:w="482" w:type="pct"/>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rsidR="00B80E79" w:rsidRPr="00CA75B1" w:rsidRDefault="00B80E79" w:rsidP="00B95B72">
            <w:pPr>
              <w:keepNext/>
              <w:jc w:val="center"/>
              <w:rPr>
                <w:color w:val="000000"/>
                <w:sz w:val="18"/>
                <w:szCs w:val="22"/>
              </w:rPr>
            </w:pPr>
            <w:r w:rsidRPr="00CA75B1">
              <w:rPr>
                <w:color w:val="000000"/>
                <w:sz w:val="18"/>
                <w:szCs w:val="22"/>
              </w:rPr>
              <w:t>11.038</w:t>
            </w:r>
          </w:p>
        </w:tc>
      </w:tr>
    </w:tbl>
    <w:p w:rsidR="00B80E79" w:rsidRPr="00B80E79" w:rsidRDefault="00B80E79" w:rsidP="00B80E79">
      <w:pPr>
        <w:autoSpaceDE w:val="0"/>
        <w:autoSpaceDN w:val="0"/>
        <w:adjustRightInd w:val="0"/>
        <w:spacing w:before="120" w:after="120" w:line="360" w:lineRule="auto"/>
        <w:jc w:val="both"/>
        <w:rPr>
          <w:szCs w:val="22"/>
          <w:lang w:val="en-US"/>
        </w:rPr>
      </w:pPr>
    </w:p>
    <w:p w:rsidR="00B80E79" w:rsidRPr="00B80E79" w:rsidRDefault="00B80E79" w:rsidP="00B80E79">
      <w:pPr>
        <w:autoSpaceDE w:val="0"/>
        <w:autoSpaceDN w:val="0"/>
        <w:adjustRightInd w:val="0"/>
        <w:spacing w:before="120" w:after="120" w:line="360" w:lineRule="auto"/>
        <w:ind w:firstLine="708"/>
        <w:jc w:val="both"/>
        <w:rPr>
          <w:szCs w:val="22"/>
          <w:lang w:val="en-US"/>
        </w:rPr>
      </w:pPr>
      <w:r w:rsidRPr="00B80E79">
        <w:rPr>
          <w:rFonts w:eastAsiaTheme="minorHAnsi"/>
          <w:color w:val="231F20"/>
          <w:szCs w:val="22"/>
          <w:lang w:val="en-US" w:eastAsia="en-US"/>
        </w:rPr>
        <w:t>From an econometric viewpoint, several problems may arise in estimating the econometric model.</w:t>
      </w:r>
      <w:r w:rsidRPr="00B80E79">
        <w:rPr>
          <w:szCs w:val="22"/>
          <w:lang w:val="en-US"/>
        </w:rPr>
        <w:t xml:space="preserve"> One potential problem is the non-stationarity of the variables. If variables </w:t>
      </w:r>
      <w:proofErr w:type="gramStart"/>
      <w:r w:rsidRPr="00B80E79">
        <w:rPr>
          <w:szCs w:val="22"/>
          <w:lang w:val="en-US"/>
        </w:rPr>
        <w:t>are</w:t>
      </w:r>
      <w:proofErr w:type="gramEnd"/>
      <w:r w:rsidRPr="00B80E79">
        <w:rPr>
          <w:szCs w:val="22"/>
          <w:lang w:val="en-US"/>
        </w:rPr>
        <w:t xml:space="preserve"> non- stationary the regression results would be spurious. </w:t>
      </w:r>
    </w:p>
    <w:p w:rsidR="00B80E79" w:rsidRPr="00B80E79" w:rsidRDefault="00B80E79" w:rsidP="00B80E79">
      <w:pPr>
        <w:autoSpaceDE w:val="0"/>
        <w:autoSpaceDN w:val="0"/>
        <w:adjustRightInd w:val="0"/>
        <w:spacing w:before="120" w:after="120" w:line="360" w:lineRule="auto"/>
        <w:ind w:firstLine="708"/>
        <w:jc w:val="both"/>
        <w:rPr>
          <w:szCs w:val="22"/>
          <w:lang w:val="en-US"/>
        </w:rPr>
      </w:pPr>
      <w:r w:rsidRPr="00B80E79">
        <w:rPr>
          <w:szCs w:val="22"/>
          <w:lang w:val="en-US"/>
        </w:rPr>
        <w:t xml:space="preserve">To test for potential non-stationarity of our variables, we conduct two </w:t>
      </w:r>
      <w:proofErr w:type="gramStart"/>
      <w:r w:rsidRPr="00B80E79">
        <w:rPr>
          <w:szCs w:val="22"/>
          <w:lang w:val="en-US"/>
        </w:rPr>
        <w:t>panel unit root tests</w:t>
      </w:r>
      <w:proofErr w:type="gramEnd"/>
      <w:r w:rsidRPr="00B80E79">
        <w:rPr>
          <w:szCs w:val="22"/>
          <w:lang w:val="en-US"/>
        </w:rPr>
        <w:t xml:space="preserve">. We apply those by </w:t>
      </w:r>
      <w:proofErr w:type="spellStart"/>
      <w:r w:rsidRPr="00B80E79">
        <w:rPr>
          <w:szCs w:val="22"/>
          <w:lang w:val="en-US"/>
        </w:rPr>
        <w:t>Im</w:t>
      </w:r>
      <w:proofErr w:type="spellEnd"/>
      <w:r w:rsidRPr="00B80E79">
        <w:rPr>
          <w:szCs w:val="22"/>
          <w:lang w:val="en-US"/>
        </w:rPr>
        <w:t xml:space="preserve"> </w:t>
      </w:r>
      <w:r w:rsidRPr="00B80E79">
        <w:rPr>
          <w:i/>
          <w:szCs w:val="22"/>
          <w:lang w:val="en-US"/>
        </w:rPr>
        <w:t>et al.</w:t>
      </w:r>
      <w:r w:rsidRPr="00B80E79">
        <w:rPr>
          <w:szCs w:val="22"/>
          <w:lang w:val="en-US"/>
        </w:rPr>
        <w:t xml:space="preserve"> (2003) and </w:t>
      </w:r>
      <w:proofErr w:type="spellStart"/>
      <w:r w:rsidRPr="00B80E79">
        <w:rPr>
          <w:szCs w:val="22"/>
          <w:lang w:val="en-US"/>
        </w:rPr>
        <w:t>Maddala</w:t>
      </w:r>
      <w:proofErr w:type="spellEnd"/>
      <w:r w:rsidRPr="00B80E79">
        <w:rPr>
          <w:szCs w:val="22"/>
          <w:lang w:val="en-US"/>
        </w:rPr>
        <w:t xml:space="preserve"> &amp; Wu (1999) and Levin, Lin &amp; Chu (2002). All unit root tests assume that all series are non-stationary under the null hypothesis against the alternative that some panels are stationary, at least one series in the panel is stationary and panels are stationary, respectively. Table 3 presents the results of the </w:t>
      </w:r>
      <w:proofErr w:type="spellStart"/>
      <w:r w:rsidRPr="00B80E79">
        <w:rPr>
          <w:szCs w:val="22"/>
          <w:lang w:val="en-US"/>
        </w:rPr>
        <w:t>Im</w:t>
      </w:r>
      <w:proofErr w:type="spellEnd"/>
      <w:r w:rsidRPr="00B80E79">
        <w:rPr>
          <w:szCs w:val="22"/>
          <w:lang w:val="en-US"/>
        </w:rPr>
        <w:t>-</w:t>
      </w:r>
      <w:proofErr w:type="spellStart"/>
      <w:r w:rsidRPr="00B80E79">
        <w:rPr>
          <w:szCs w:val="22"/>
          <w:lang w:val="en-US"/>
        </w:rPr>
        <w:t>Pesaran</w:t>
      </w:r>
      <w:proofErr w:type="spellEnd"/>
      <w:r w:rsidRPr="00B80E79">
        <w:rPr>
          <w:szCs w:val="22"/>
          <w:lang w:val="en-US"/>
        </w:rPr>
        <w:t xml:space="preserve">-Shin (IPS) the Fisher-type and the Levin, Lin and Chu (LLC) unit root tests for panel data performed. Results from the IPS, Fisher and LLC tests show that at different levels of significance the null hypothesis of unit root </w:t>
      </w:r>
      <w:proofErr w:type="gramStart"/>
      <w:r w:rsidRPr="00B80E79">
        <w:rPr>
          <w:szCs w:val="22"/>
          <w:lang w:val="en-US"/>
        </w:rPr>
        <w:t>can be rejected</w:t>
      </w:r>
      <w:proofErr w:type="gramEnd"/>
      <w:r w:rsidRPr="00B80E79">
        <w:rPr>
          <w:szCs w:val="22"/>
          <w:lang w:val="en-US"/>
        </w:rPr>
        <w:t xml:space="preserve"> in all cases. It </w:t>
      </w:r>
      <w:proofErr w:type="gramStart"/>
      <w:r w:rsidRPr="00B80E79">
        <w:rPr>
          <w:szCs w:val="22"/>
          <w:lang w:val="en-US"/>
        </w:rPr>
        <w:t>can be concluded</w:t>
      </w:r>
      <w:proofErr w:type="gramEnd"/>
      <w:r w:rsidRPr="00B80E79">
        <w:rPr>
          <w:szCs w:val="22"/>
          <w:lang w:val="en-US"/>
        </w:rPr>
        <w:t xml:space="preserve"> that our time series are stationary. The optimal </w:t>
      </w:r>
      <w:r w:rsidRPr="00B80E79">
        <w:rPr>
          <w:szCs w:val="22"/>
          <w:lang w:val="en-US"/>
        </w:rPr>
        <w:lastRenderedPageBreak/>
        <w:t xml:space="preserve">lag structure </w:t>
      </w:r>
      <w:proofErr w:type="gramStart"/>
      <w:r w:rsidRPr="00B80E79">
        <w:rPr>
          <w:szCs w:val="22"/>
          <w:lang w:val="en-US"/>
        </w:rPr>
        <w:t>has been chosen</w:t>
      </w:r>
      <w:proofErr w:type="gramEnd"/>
      <w:r w:rsidRPr="00B80E79">
        <w:rPr>
          <w:szCs w:val="22"/>
          <w:lang w:val="en-US"/>
        </w:rPr>
        <w:t xml:space="preserve"> according to </w:t>
      </w:r>
      <w:proofErr w:type="spellStart"/>
      <w:r w:rsidRPr="00B80E79">
        <w:rPr>
          <w:szCs w:val="22"/>
          <w:lang w:val="en-US"/>
        </w:rPr>
        <w:t>Akaike’s</w:t>
      </w:r>
      <w:proofErr w:type="spellEnd"/>
      <w:r w:rsidRPr="00B80E79">
        <w:rPr>
          <w:szCs w:val="22"/>
          <w:lang w:val="en-US"/>
        </w:rPr>
        <w:t xml:space="preserve"> information criterion (AIC) in the IPS and LCC unit root test.</w:t>
      </w:r>
    </w:p>
    <w:p w:rsidR="00B80E79" w:rsidRPr="00B80E79" w:rsidRDefault="00B80E79" w:rsidP="00B80E79">
      <w:pPr>
        <w:autoSpaceDE w:val="0"/>
        <w:autoSpaceDN w:val="0"/>
        <w:adjustRightInd w:val="0"/>
        <w:spacing w:before="120" w:after="120" w:line="360" w:lineRule="auto"/>
        <w:jc w:val="both"/>
        <w:rPr>
          <w:szCs w:val="22"/>
          <w:lang w:val="en-US"/>
        </w:rPr>
      </w:pPr>
    </w:p>
    <w:p w:rsidR="00B80E79" w:rsidRDefault="00B80E79" w:rsidP="00B80E79">
      <w:pPr>
        <w:keepNext/>
        <w:autoSpaceDE w:val="0"/>
        <w:autoSpaceDN w:val="0"/>
        <w:adjustRightInd w:val="0"/>
        <w:spacing w:before="120" w:after="120" w:line="360" w:lineRule="auto"/>
        <w:jc w:val="center"/>
        <w:rPr>
          <w:sz w:val="22"/>
          <w:szCs w:val="22"/>
          <w:lang w:val="en-US"/>
        </w:rPr>
      </w:pPr>
      <w:r w:rsidRPr="00CE773F">
        <w:rPr>
          <w:sz w:val="22"/>
          <w:szCs w:val="22"/>
          <w:lang w:val="en-US"/>
        </w:rPr>
        <w:t xml:space="preserve">Table 3- Results of the </w:t>
      </w:r>
      <w:r>
        <w:rPr>
          <w:sz w:val="22"/>
          <w:szCs w:val="22"/>
          <w:lang w:val="en-US"/>
        </w:rPr>
        <w:t xml:space="preserve">panel </w:t>
      </w:r>
      <w:r w:rsidRPr="00CE773F">
        <w:rPr>
          <w:sz w:val="22"/>
          <w:szCs w:val="22"/>
          <w:lang w:val="en-US"/>
        </w:rPr>
        <w:t>unit root test</w:t>
      </w:r>
    </w:p>
    <w:tbl>
      <w:tblPr>
        <w:tblStyle w:val="Tablaconcuadrcula"/>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40"/>
        <w:gridCol w:w="1325"/>
        <w:gridCol w:w="825"/>
        <w:gridCol w:w="1158"/>
        <w:gridCol w:w="659"/>
        <w:gridCol w:w="1322"/>
        <w:gridCol w:w="991"/>
      </w:tblGrid>
      <w:tr w:rsidR="00B80E79" w:rsidRPr="00B80E79" w:rsidTr="00B95B72">
        <w:tc>
          <w:tcPr>
            <w:tcW w:w="1399" w:type="pct"/>
            <w:tcBorders>
              <w:bottom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p>
        </w:tc>
        <w:tc>
          <w:tcPr>
            <w:tcW w:w="760" w:type="pct"/>
            <w:tcBorders>
              <w:bottom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IPS</w:t>
            </w:r>
          </w:p>
        </w:tc>
        <w:tc>
          <w:tcPr>
            <w:tcW w:w="473" w:type="pct"/>
            <w:tcBorders>
              <w:bottom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p>
        </w:tc>
        <w:tc>
          <w:tcPr>
            <w:tcW w:w="664" w:type="pct"/>
            <w:tcBorders>
              <w:bottom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Fisher</w:t>
            </w:r>
          </w:p>
        </w:tc>
        <w:tc>
          <w:tcPr>
            <w:tcW w:w="378" w:type="pct"/>
            <w:tcBorders>
              <w:bottom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p>
        </w:tc>
        <w:tc>
          <w:tcPr>
            <w:tcW w:w="758" w:type="pct"/>
            <w:tcBorders>
              <w:bottom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LLC</w:t>
            </w:r>
          </w:p>
        </w:tc>
        <w:tc>
          <w:tcPr>
            <w:tcW w:w="568" w:type="pct"/>
            <w:tcBorders>
              <w:bottom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p>
        </w:tc>
      </w:tr>
      <w:tr w:rsidR="00B80E79" w:rsidRPr="00B80E79" w:rsidTr="00B95B72">
        <w:tc>
          <w:tcPr>
            <w:tcW w:w="1399" w:type="pct"/>
            <w:tcBorders>
              <w:top w:val="nil"/>
            </w:tcBorders>
          </w:tcPr>
          <w:p w:rsidR="00B80E79" w:rsidRPr="00B80E79" w:rsidRDefault="00B80E79" w:rsidP="00B95B72">
            <w:pPr>
              <w:keepNext/>
              <w:autoSpaceDE w:val="0"/>
              <w:autoSpaceDN w:val="0"/>
              <w:adjustRightInd w:val="0"/>
              <w:rPr>
                <w:rFonts w:ascii="Times New Roman" w:hAnsi="Times New Roman" w:cs="Times New Roman"/>
                <w:sz w:val="18"/>
                <w:szCs w:val="18"/>
                <w:lang w:val="en-US"/>
              </w:rPr>
            </w:pPr>
            <w:r w:rsidRPr="00B80E79">
              <w:rPr>
                <w:rFonts w:ascii="Times New Roman" w:hAnsi="Times New Roman" w:cs="Times New Roman"/>
                <w:sz w:val="18"/>
                <w:szCs w:val="18"/>
                <w:lang w:val="en-US"/>
              </w:rPr>
              <w:t>Statistic</w:t>
            </w:r>
          </w:p>
        </w:tc>
        <w:tc>
          <w:tcPr>
            <w:tcW w:w="760" w:type="pct"/>
            <w:tcBorders>
              <w:top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w:t>
            </w:r>
            <w:proofErr w:type="spellStart"/>
            <w:r w:rsidRPr="00B80E79">
              <w:rPr>
                <w:rFonts w:ascii="Times New Roman" w:hAnsi="Times New Roman" w:cs="Times New Roman"/>
                <w:sz w:val="18"/>
                <w:szCs w:val="18"/>
                <w:lang w:val="en-US"/>
              </w:rPr>
              <w:t>t-</w:t>
            </w:r>
            <w:proofErr w:type="gramStart"/>
            <w:r w:rsidRPr="00B80E79">
              <w:rPr>
                <w:rFonts w:ascii="Times New Roman" w:hAnsi="Times New Roman" w:cs="Times New Roman"/>
                <w:sz w:val="18"/>
                <w:szCs w:val="18"/>
                <w:lang w:val="en-US"/>
              </w:rPr>
              <w:t>bar</w:t>
            </w:r>
            <w:proofErr w:type="spellEnd"/>
            <w:r w:rsidRPr="00B80E79">
              <w:rPr>
                <w:rFonts w:ascii="Times New Roman" w:hAnsi="Times New Roman" w:cs="Times New Roman"/>
                <w:sz w:val="18"/>
                <w:szCs w:val="18"/>
                <w:lang w:val="en-US"/>
              </w:rPr>
              <w:t xml:space="preserve"> .</w:t>
            </w:r>
            <w:proofErr w:type="gramEnd"/>
          </w:p>
        </w:tc>
        <w:tc>
          <w:tcPr>
            <w:tcW w:w="473" w:type="pct"/>
            <w:tcBorders>
              <w:top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p>
        </w:tc>
        <w:tc>
          <w:tcPr>
            <w:tcW w:w="664" w:type="pct"/>
            <w:tcBorders>
              <w:top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Z</w:t>
            </w:r>
          </w:p>
        </w:tc>
        <w:tc>
          <w:tcPr>
            <w:tcW w:w="378" w:type="pct"/>
            <w:tcBorders>
              <w:top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p>
        </w:tc>
        <w:tc>
          <w:tcPr>
            <w:tcW w:w="758" w:type="pct"/>
            <w:tcBorders>
              <w:top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Adjusted t</w:t>
            </w:r>
          </w:p>
        </w:tc>
        <w:tc>
          <w:tcPr>
            <w:tcW w:w="568" w:type="pct"/>
            <w:tcBorders>
              <w:top w:val="nil"/>
            </w:tcBorders>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p>
        </w:tc>
      </w:tr>
      <w:tr w:rsidR="00B80E79" w:rsidRPr="00B80E79" w:rsidTr="00B95B72">
        <w:tc>
          <w:tcPr>
            <w:tcW w:w="1399" w:type="pct"/>
          </w:tcPr>
          <w:p w:rsidR="00B80E79" w:rsidRPr="00B80E79" w:rsidRDefault="00B80E79" w:rsidP="00B95B72">
            <w:pPr>
              <w:keepNext/>
              <w:autoSpaceDE w:val="0"/>
              <w:autoSpaceDN w:val="0"/>
              <w:adjustRightInd w:val="0"/>
              <w:rPr>
                <w:rFonts w:ascii="Times New Roman" w:hAnsi="Times New Roman" w:cs="Times New Roman"/>
                <w:sz w:val="18"/>
                <w:szCs w:val="18"/>
                <w:lang w:val="en-US"/>
              </w:rPr>
            </w:pPr>
            <w:r w:rsidRPr="00B80E79">
              <w:rPr>
                <w:rFonts w:ascii="Times New Roman" w:hAnsi="Times New Roman" w:cs="Times New Roman"/>
                <w:sz w:val="18"/>
                <w:szCs w:val="18"/>
                <w:lang w:val="en-US"/>
              </w:rPr>
              <w:t>Real housing market prices per square meter</w:t>
            </w:r>
          </w:p>
        </w:tc>
        <w:tc>
          <w:tcPr>
            <w:tcW w:w="760"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-2.9658</w:t>
            </w:r>
          </w:p>
        </w:tc>
        <w:tc>
          <w:tcPr>
            <w:tcW w:w="473"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664"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-3.9199</w:t>
            </w:r>
          </w:p>
        </w:tc>
        <w:tc>
          <w:tcPr>
            <w:tcW w:w="37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75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-12.6483</w:t>
            </w:r>
          </w:p>
        </w:tc>
        <w:tc>
          <w:tcPr>
            <w:tcW w:w="56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r>
      <w:tr w:rsidR="00B80E79" w:rsidRPr="00B80E79" w:rsidTr="00B95B72">
        <w:tc>
          <w:tcPr>
            <w:tcW w:w="1399" w:type="pct"/>
          </w:tcPr>
          <w:p w:rsidR="00B80E79" w:rsidRPr="00B80E79" w:rsidRDefault="00B80E79" w:rsidP="00B95B72">
            <w:pPr>
              <w:keepNext/>
              <w:autoSpaceDE w:val="0"/>
              <w:autoSpaceDN w:val="0"/>
              <w:adjustRightInd w:val="0"/>
              <w:rPr>
                <w:rFonts w:ascii="Times New Roman" w:hAnsi="Times New Roman" w:cs="Times New Roman"/>
                <w:sz w:val="18"/>
                <w:szCs w:val="18"/>
                <w:lang w:val="en-US"/>
              </w:rPr>
            </w:pPr>
            <w:r w:rsidRPr="00B80E79">
              <w:rPr>
                <w:rFonts w:ascii="Times New Roman" w:hAnsi="Times New Roman" w:cs="Times New Roman"/>
                <w:sz w:val="18"/>
                <w:szCs w:val="18"/>
                <w:lang w:val="en-US"/>
              </w:rPr>
              <w:t>Ratio affordable dwelling</w:t>
            </w:r>
          </w:p>
        </w:tc>
        <w:tc>
          <w:tcPr>
            <w:tcW w:w="760"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-7.7572</w:t>
            </w:r>
          </w:p>
        </w:tc>
        <w:tc>
          <w:tcPr>
            <w:tcW w:w="473"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664"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-4.8318</w:t>
            </w:r>
          </w:p>
        </w:tc>
        <w:tc>
          <w:tcPr>
            <w:tcW w:w="37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75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-11.4369</w:t>
            </w:r>
          </w:p>
        </w:tc>
        <w:tc>
          <w:tcPr>
            <w:tcW w:w="56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r>
      <w:tr w:rsidR="00B80E79" w:rsidRPr="00B80E79" w:rsidTr="00B95B72">
        <w:tc>
          <w:tcPr>
            <w:tcW w:w="1399" w:type="pct"/>
          </w:tcPr>
          <w:p w:rsidR="00B80E79" w:rsidRPr="00B80E79" w:rsidRDefault="00B80E79" w:rsidP="00B95B72">
            <w:pPr>
              <w:keepNext/>
              <w:autoSpaceDE w:val="0"/>
              <w:autoSpaceDN w:val="0"/>
              <w:adjustRightInd w:val="0"/>
              <w:rPr>
                <w:rFonts w:ascii="Times New Roman" w:hAnsi="Times New Roman" w:cs="Times New Roman"/>
                <w:sz w:val="18"/>
                <w:szCs w:val="18"/>
                <w:lang w:val="en-US"/>
              </w:rPr>
            </w:pPr>
            <w:r w:rsidRPr="00B80E79">
              <w:rPr>
                <w:rFonts w:ascii="Times New Roman" w:hAnsi="Times New Roman" w:cs="Times New Roman"/>
                <w:sz w:val="18"/>
                <w:szCs w:val="18"/>
                <w:lang w:val="en-US"/>
              </w:rPr>
              <w:t>Squared Ratio affordable dwelling</w:t>
            </w:r>
          </w:p>
        </w:tc>
        <w:tc>
          <w:tcPr>
            <w:tcW w:w="760"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-17.0504</w:t>
            </w:r>
          </w:p>
        </w:tc>
        <w:tc>
          <w:tcPr>
            <w:tcW w:w="473"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664"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-12.1283</w:t>
            </w:r>
          </w:p>
        </w:tc>
        <w:tc>
          <w:tcPr>
            <w:tcW w:w="37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75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-20.4402</w:t>
            </w:r>
          </w:p>
        </w:tc>
        <w:tc>
          <w:tcPr>
            <w:tcW w:w="56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r>
      <w:tr w:rsidR="00B80E79" w:rsidRPr="00B80E79" w:rsidTr="00B95B72">
        <w:tc>
          <w:tcPr>
            <w:tcW w:w="1399" w:type="pct"/>
          </w:tcPr>
          <w:p w:rsidR="00B80E79" w:rsidRPr="00B80E79" w:rsidRDefault="00B80E79" w:rsidP="00B95B72">
            <w:pPr>
              <w:keepNext/>
              <w:autoSpaceDE w:val="0"/>
              <w:autoSpaceDN w:val="0"/>
              <w:adjustRightInd w:val="0"/>
              <w:rPr>
                <w:rFonts w:ascii="Times New Roman" w:hAnsi="Times New Roman" w:cs="Times New Roman"/>
                <w:sz w:val="18"/>
                <w:szCs w:val="18"/>
                <w:lang w:val="en-US"/>
              </w:rPr>
            </w:pPr>
            <w:r w:rsidRPr="00B80E79">
              <w:rPr>
                <w:rFonts w:ascii="Times New Roman" w:hAnsi="Times New Roman" w:cs="Times New Roman"/>
                <w:sz w:val="18"/>
                <w:szCs w:val="18"/>
                <w:lang w:val="en-US"/>
              </w:rPr>
              <w:sym w:font="Wingdings 3" w:char="F072"/>
            </w:r>
            <w:r w:rsidRPr="00B80E79">
              <w:rPr>
                <w:rFonts w:ascii="Times New Roman" w:hAnsi="Times New Roman" w:cs="Times New Roman"/>
                <w:sz w:val="18"/>
                <w:szCs w:val="18"/>
                <w:lang w:val="en-US"/>
              </w:rPr>
              <w:t>population</w:t>
            </w:r>
          </w:p>
        </w:tc>
        <w:tc>
          <w:tcPr>
            <w:tcW w:w="760"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-1.2447</w:t>
            </w:r>
          </w:p>
        </w:tc>
        <w:tc>
          <w:tcPr>
            <w:tcW w:w="473"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664"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-9.0581</w:t>
            </w:r>
          </w:p>
        </w:tc>
        <w:tc>
          <w:tcPr>
            <w:tcW w:w="37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75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-3.4536</w:t>
            </w:r>
          </w:p>
        </w:tc>
        <w:tc>
          <w:tcPr>
            <w:tcW w:w="56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r>
      <w:tr w:rsidR="00B80E79" w:rsidRPr="00B80E79" w:rsidTr="00B95B72">
        <w:tc>
          <w:tcPr>
            <w:tcW w:w="1399" w:type="pct"/>
          </w:tcPr>
          <w:p w:rsidR="00B80E79" w:rsidRPr="00B80E79" w:rsidRDefault="00B80E79" w:rsidP="00B95B72">
            <w:pPr>
              <w:keepNext/>
              <w:autoSpaceDE w:val="0"/>
              <w:autoSpaceDN w:val="0"/>
              <w:adjustRightInd w:val="0"/>
              <w:rPr>
                <w:rFonts w:ascii="Times New Roman" w:hAnsi="Times New Roman" w:cs="Times New Roman"/>
                <w:sz w:val="18"/>
                <w:szCs w:val="18"/>
                <w:lang w:val="en-US"/>
              </w:rPr>
            </w:pPr>
            <w:r w:rsidRPr="00B80E79">
              <w:rPr>
                <w:rFonts w:ascii="Times New Roman" w:hAnsi="Times New Roman" w:cs="Times New Roman"/>
                <w:sz w:val="18"/>
                <w:szCs w:val="18"/>
                <w:lang w:val="en-US"/>
              </w:rPr>
              <w:t>Real disposable income</w:t>
            </w:r>
          </w:p>
        </w:tc>
        <w:tc>
          <w:tcPr>
            <w:tcW w:w="760"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-2.6304</w:t>
            </w:r>
          </w:p>
        </w:tc>
        <w:tc>
          <w:tcPr>
            <w:tcW w:w="473"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664"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-1.9484</w:t>
            </w:r>
          </w:p>
        </w:tc>
        <w:tc>
          <w:tcPr>
            <w:tcW w:w="37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75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-7.8853</w:t>
            </w:r>
          </w:p>
        </w:tc>
        <w:tc>
          <w:tcPr>
            <w:tcW w:w="56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r>
      <w:tr w:rsidR="00B80E79" w:rsidRPr="00B80E79" w:rsidTr="00B95B72">
        <w:tc>
          <w:tcPr>
            <w:tcW w:w="1399" w:type="pct"/>
          </w:tcPr>
          <w:p w:rsidR="00B80E79" w:rsidRPr="00B80E79" w:rsidRDefault="00B80E79" w:rsidP="00B95B72">
            <w:pPr>
              <w:keepNext/>
              <w:autoSpaceDE w:val="0"/>
              <w:autoSpaceDN w:val="0"/>
              <w:adjustRightInd w:val="0"/>
              <w:rPr>
                <w:rFonts w:ascii="Times New Roman" w:hAnsi="Times New Roman" w:cs="Times New Roman"/>
                <w:sz w:val="18"/>
                <w:szCs w:val="18"/>
                <w:lang w:val="en-US"/>
              </w:rPr>
            </w:pPr>
            <w:r w:rsidRPr="00B80E79">
              <w:rPr>
                <w:rFonts w:ascii="Times New Roman" w:hAnsi="Times New Roman" w:cs="Times New Roman"/>
                <w:sz w:val="18"/>
                <w:szCs w:val="18"/>
                <w:lang w:val="en-US"/>
              </w:rPr>
              <w:t>Mortgage rate</w:t>
            </w:r>
          </w:p>
        </w:tc>
        <w:tc>
          <w:tcPr>
            <w:tcW w:w="760"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-10.070</w:t>
            </w:r>
          </w:p>
        </w:tc>
        <w:tc>
          <w:tcPr>
            <w:tcW w:w="473"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664"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-12.1685</w:t>
            </w:r>
          </w:p>
        </w:tc>
        <w:tc>
          <w:tcPr>
            <w:tcW w:w="37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c>
          <w:tcPr>
            <w:tcW w:w="75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-137479</w:t>
            </w:r>
          </w:p>
        </w:tc>
        <w:tc>
          <w:tcPr>
            <w:tcW w:w="568" w:type="pct"/>
          </w:tcPr>
          <w:p w:rsidR="00B80E79" w:rsidRPr="00B80E79" w:rsidRDefault="00B80E79" w:rsidP="00B95B72">
            <w:pPr>
              <w:keepNext/>
              <w:autoSpaceDE w:val="0"/>
              <w:autoSpaceDN w:val="0"/>
              <w:adjustRightInd w:val="0"/>
              <w:jc w:val="center"/>
              <w:rPr>
                <w:rFonts w:ascii="Times New Roman" w:hAnsi="Times New Roman" w:cs="Times New Roman"/>
                <w:sz w:val="18"/>
                <w:szCs w:val="18"/>
                <w:lang w:val="en-US"/>
              </w:rPr>
            </w:pPr>
            <w:r w:rsidRPr="00B80E79">
              <w:rPr>
                <w:rFonts w:ascii="Times New Roman" w:hAnsi="Times New Roman" w:cs="Times New Roman"/>
                <w:sz w:val="18"/>
                <w:szCs w:val="18"/>
                <w:lang w:val="en-US"/>
              </w:rPr>
              <w:t>***</w:t>
            </w:r>
          </w:p>
        </w:tc>
      </w:tr>
    </w:tbl>
    <w:p w:rsidR="00B80E79" w:rsidRDefault="00B80E79" w:rsidP="00B80E79">
      <w:pPr>
        <w:keepNext/>
        <w:autoSpaceDE w:val="0"/>
        <w:autoSpaceDN w:val="0"/>
        <w:adjustRightInd w:val="0"/>
        <w:jc w:val="both"/>
        <w:rPr>
          <w:rFonts w:eastAsiaTheme="minorHAnsi"/>
          <w:color w:val="231F20"/>
          <w:sz w:val="20"/>
          <w:szCs w:val="22"/>
          <w:lang w:val="en-US" w:eastAsia="en-US"/>
        </w:rPr>
      </w:pPr>
      <w:r w:rsidRPr="00CE773F">
        <w:rPr>
          <w:rFonts w:eastAsiaTheme="minorHAnsi"/>
          <w:color w:val="231F20"/>
          <w:sz w:val="20"/>
          <w:szCs w:val="22"/>
          <w:lang w:val="en-US" w:eastAsia="en-US"/>
        </w:rPr>
        <w:t>*** indicates the rejection of the null hypothesis of non-stationarity at the level of 1%, ** at the level of 5% and * at the level of 10%p&lt;0.05 and * p&lt;0.1</w:t>
      </w:r>
    </w:p>
    <w:p w:rsidR="00B80E79" w:rsidRPr="00B80E79" w:rsidRDefault="00B80E79" w:rsidP="00B80E79">
      <w:pPr>
        <w:autoSpaceDE w:val="0"/>
        <w:autoSpaceDN w:val="0"/>
        <w:adjustRightInd w:val="0"/>
        <w:spacing w:before="120" w:after="120" w:line="360" w:lineRule="auto"/>
        <w:jc w:val="center"/>
        <w:rPr>
          <w:rFonts w:eastAsiaTheme="minorHAnsi"/>
          <w:color w:val="231F20"/>
          <w:sz w:val="22"/>
          <w:szCs w:val="22"/>
          <w:lang w:val="en-US" w:eastAsia="en-US"/>
        </w:rPr>
      </w:pPr>
    </w:p>
    <w:p w:rsidR="00B80E79" w:rsidRPr="00B80E79" w:rsidRDefault="00B80E79" w:rsidP="00B80E79">
      <w:pPr>
        <w:autoSpaceDE w:val="0"/>
        <w:autoSpaceDN w:val="0"/>
        <w:adjustRightInd w:val="0"/>
        <w:spacing w:before="120" w:after="120" w:line="360" w:lineRule="auto"/>
        <w:ind w:firstLine="708"/>
        <w:jc w:val="both"/>
        <w:rPr>
          <w:rFonts w:eastAsiaTheme="minorHAnsi"/>
          <w:szCs w:val="22"/>
          <w:lang w:val="en-US" w:eastAsia="en-US"/>
        </w:rPr>
      </w:pPr>
      <w:r w:rsidRPr="00B80E79">
        <w:rPr>
          <w:szCs w:val="22"/>
          <w:lang w:val="en-US"/>
        </w:rPr>
        <w:t xml:space="preserve">A second problem is the potential </w:t>
      </w:r>
      <w:proofErr w:type="spellStart"/>
      <w:r w:rsidRPr="00B80E79">
        <w:rPr>
          <w:szCs w:val="22"/>
          <w:lang w:val="en-US"/>
        </w:rPr>
        <w:t>endogeneity</w:t>
      </w:r>
      <w:proofErr w:type="spellEnd"/>
      <w:r w:rsidRPr="00B80E79">
        <w:rPr>
          <w:szCs w:val="22"/>
          <w:lang w:val="en-US"/>
        </w:rPr>
        <w:t xml:space="preserve"> of our independent variable. </w:t>
      </w:r>
      <w:r w:rsidRPr="00B80E79">
        <w:rPr>
          <w:rFonts w:eastAsiaTheme="minorHAnsi"/>
          <w:szCs w:val="22"/>
          <w:lang w:val="en-US" w:eastAsia="en-US"/>
        </w:rPr>
        <w:t xml:space="preserve">This is an important issue since failing to control for </w:t>
      </w:r>
      <w:proofErr w:type="spellStart"/>
      <w:r w:rsidRPr="00B80E79">
        <w:rPr>
          <w:rFonts w:eastAsiaTheme="minorHAnsi"/>
          <w:szCs w:val="22"/>
          <w:lang w:val="en-US" w:eastAsia="en-US"/>
        </w:rPr>
        <w:t>endogeneity</w:t>
      </w:r>
      <w:proofErr w:type="spellEnd"/>
      <w:r w:rsidRPr="00B80E79">
        <w:rPr>
          <w:rFonts w:eastAsiaTheme="minorHAnsi"/>
          <w:szCs w:val="22"/>
          <w:lang w:val="en-US" w:eastAsia="en-US"/>
        </w:rPr>
        <w:t xml:space="preserve"> problems would likely lead to biases in the estimation of the impact of the ratio of affordable dwellings on real housing market prices. </w:t>
      </w:r>
      <w:proofErr w:type="spellStart"/>
      <w:r w:rsidRPr="00B80E79">
        <w:rPr>
          <w:rFonts w:eastAsiaTheme="minorHAnsi"/>
          <w:szCs w:val="22"/>
          <w:lang w:val="en-US" w:eastAsia="en-US"/>
        </w:rPr>
        <w:t>E</w:t>
      </w:r>
      <w:r w:rsidRPr="00B80E79">
        <w:rPr>
          <w:szCs w:val="22"/>
          <w:lang w:val="en-US"/>
        </w:rPr>
        <w:t>ndogeneity</w:t>
      </w:r>
      <w:proofErr w:type="spellEnd"/>
      <w:r w:rsidRPr="00B80E79">
        <w:rPr>
          <w:szCs w:val="22"/>
          <w:lang w:val="en-US"/>
        </w:rPr>
        <w:t xml:space="preserve"> could have different sources. First, the existence of the time-constant unobserved province </w:t>
      </w:r>
      <w:proofErr w:type="gramStart"/>
      <w:r w:rsidRPr="00B80E79">
        <w:rPr>
          <w:szCs w:val="22"/>
          <w:lang w:val="en-US"/>
        </w:rPr>
        <w:t>characteristics which could be</w:t>
      </w:r>
      <w:proofErr w:type="gramEnd"/>
      <w:r w:rsidRPr="00B80E79">
        <w:rPr>
          <w:szCs w:val="22"/>
          <w:lang w:val="en-US"/>
        </w:rPr>
        <w:t xml:space="preserve"> correlated with both variables the real housing market prices and the ratio of affordable dwellings. Second, the ratio of affordable dwellings might depend on the past values of the real housing market prices or that the current real housing market prices could depend on the future ratio of affordable dwelling. We have tested the first of this hypothesis by regressing the ratio of affordable dwellings on the lag of real housing market prices. The second hypothesis </w:t>
      </w:r>
      <w:proofErr w:type="gramStart"/>
      <w:r w:rsidRPr="00B80E79">
        <w:rPr>
          <w:szCs w:val="22"/>
          <w:lang w:val="en-US"/>
        </w:rPr>
        <w:t>has been tested</w:t>
      </w:r>
      <w:proofErr w:type="gramEnd"/>
      <w:r w:rsidRPr="00B80E79">
        <w:rPr>
          <w:szCs w:val="22"/>
          <w:lang w:val="en-US"/>
        </w:rPr>
        <w:t xml:space="preserve"> by regressing the real housing market prices on the lead of the ratio of affordable dwellings. In both </w:t>
      </w:r>
      <w:proofErr w:type="gramStart"/>
      <w:r w:rsidRPr="00B80E79">
        <w:rPr>
          <w:szCs w:val="22"/>
          <w:lang w:val="en-US"/>
        </w:rPr>
        <w:t>cases</w:t>
      </w:r>
      <w:proofErr w:type="gramEnd"/>
      <w:r w:rsidRPr="00B80E79">
        <w:rPr>
          <w:szCs w:val="22"/>
          <w:lang w:val="en-US"/>
        </w:rPr>
        <w:t xml:space="preserve"> we have used the fixed effect estimator. Only in the first regression the lag of real housing market prices was statistically significant (see results in Appendix 1). Therefore, we can rule out the second hypothesis. </w:t>
      </w:r>
      <w:r w:rsidRPr="00B80E79">
        <w:rPr>
          <w:rFonts w:eastAsiaTheme="minorHAnsi"/>
          <w:szCs w:val="22"/>
          <w:lang w:val="en-US" w:eastAsia="en-US"/>
        </w:rPr>
        <w:t xml:space="preserve">Third, </w:t>
      </w:r>
      <w:r w:rsidRPr="00B80E79">
        <w:rPr>
          <w:rFonts w:eastAsiaTheme="minorHAnsi"/>
          <w:color w:val="231F20"/>
          <w:szCs w:val="22"/>
          <w:lang w:val="en-US" w:eastAsia="en-US"/>
        </w:rPr>
        <w:t xml:space="preserve">the existence of a significant relationship between housing market prices in t and t-1. Fourth, a potential reversed causality from the fact that the actual ratio of affordable dwellings </w:t>
      </w:r>
      <w:proofErr w:type="gramStart"/>
      <w:r w:rsidRPr="00B80E79">
        <w:rPr>
          <w:rFonts w:eastAsiaTheme="minorHAnsi"/>
          <w:color w:val="231F20"/>
          <w:szCs w:val="22"/>
          <w:lang w:val="en-US" w:eastAsia="en-US"/>
        </w:rPr>
        <w:t>is determined</w:t>
      </w:r>
      <w:proofErr w:type="gramEnd"/>
      <w:r w:rsidRPr="00B80E79">
        <w:rPr>
          <w:rFonts w:eastAsiaTheme="minorHAnsi"/>
          <w:color w:val="231F20"/>
          <w:szCs w:val="22"/>
          <w:lang w:val="en-US" w:eastAsia="en-US"/>
        </w:rPr>
        <w:t xml:space="preserve"> by current real housing market prices. T</w:t>
      </w:r>
      <w:r w:rsidRPr="00B80E79">
        <w:rPr>
          <w:rFonts w:eastAsiaTheme="minorHAnsi"/>
          <w:szCs w:val="22"/>
          <w:lang w:val="en-US" w:eastAsia="en-US"/>
        </w:rPr>
        <w:t xml:space="preserve">he process </w:t>
      </w:r>
      <w:r w:rsidRPr="00B80E79">
        <w:rPr>
          <w:rFonts w:eastAsiaTheme="minorHAnsi"/>
          <w:iCs/>
          <w:szCs w:val="22"/>
          <w:lang w:val="en-US" w:eastAsia="en-US"/>
        </w:rPr>
        <w:t xml:space="preserve">of providing new affordable housing </w:t>
      </w:r>
      <w:r w:rsidRPr="00B80E79">
        <w:rPr>
          <w:rFonts w:eastAsiaTheme="minorHAnsi"/>
          <w:szCs w:val="22"/>
          <w:lang w:val="en-US" w:eastAsia="en-US"/>
        </w:rPr>
        <w:t xml:space="preserve">involves a relatively long political decision procedure. For this reason, we think that it is reasonable to assume that the ratio of affordable dwellings does not depend on past housing price levels. </w:t>
      </w:r>
    </w:p>
    <w:p w:rsidR="00B80E79" w:rsidRPr="00B80E79" w:rsidRDefault="00B80E79" w:rsidP="00B80E79">
      <w:pPr>
        <w:autoSpaceDE w:val="0"/>
        <w:autoSpaceDN w:val="0"/>
        <w:adjustRightInd w:val="0"/>
        <w:spacing w:before="120" w:after="120" w:line="360" w:lineRule="auto"/>
        <w:ind w:firstLine="708"/>
        <w:jc w:val="both"/>
        <w:rPr>
          <w:rFonts w:eastAsiaTheme="minorHAnsi"/>
          <w:szCs w:val="22"/>
          <w:lang w:val="en-US" w:eastAsia="en-US"/>
        </w:rPr>
      </w:pPr>
      <w:r w:rsidRPr="00B80E79">
        <w:rPr>
          <w:rFonts w:eastAsiaTheme="minorHAnsi"/>
          <w:szCs w:val="22"/>
          <w:lang w:val="en-US" w:eastAsia="en-US"/>
        </w:rPr>
        <w:lastRenderedPageBreak/>
        <w:t xml:space="preserve">In sum, as we have controlled for all potential sources of </w:t>
      </w:r>
      <w:proofErr w:type="spellStart"/>
      <w:r w:rsidRPr="00B80E79">
        <w:rPr>
          <w:rFonts w:eastAsiaTheme="minorHAnsi"/>
          <w:szCs w:val="22"/>
          <w:lang w:val="en-US" w:eastAsia="en-US"/>
        </w:rPr>
        <w:t>endogeneity</w:t>
      </w:r>
      <w:proofErr w:type="spellEnd"/>
      <w:r w:rsidRPr="00B80E79">
        <w:rPr>
          <w:rFonts w:eastAsiaTheme="minorHAnsi"/>
          <w:szCs w:val="22"/>
          <w:lang w:val="en-US" w:eastAsia="en-US"/>
        </w:rPr>
        <w:t xml:space="preserve">, our results </w:t>
      </w:r>
      <w:proofErr w:type="gramStart"/>
      <w:r w:rsidRPr="00B80E79">
        <w:rPr>
          <w:rFonts w:eastAsiaTheme="minorHAnsi"/>
          <w:szCs w:val="22"/>
          <w:lang w:val="en-US" w:eastAsia="en-US"/>
        </w:rPr>
        <w:t>will not be significantly biased</w:t>
      </w:r>
      <w:proofErr w:type="gramEnd"/>
      <w:r w:rsidRPr="00B80E79">
        <w:rPr>
          <w:rFonts w:eastAsiaTheme="minorHAnsi"/>
          <w:szCs w:val="22"/>
          <w:lang w:val="en-US" w:eastAsia="en-US"/>
        </w:rPr>
        <w:t xml:space="preserve"> by this problem.</w:t>
      </w:r>
    </w:p>
    <w:p w:rsidR="00B80E79" w:rsidRPr="00B80E79" w:rsidRDefault="00B80E79" w:rsidP="00B80E79">
      <w:pPr>
        <w:autoSpaceDE w:val="0"/>
        <w:autoSpaceDN w:val="0"/>
        <w:adjustRightInd w:val="0"/>
        <w:spacing w:before="120" w:after="120" w:line="360" w:lineRule="auto"/>
        <w:jc w:val="both"/>
        <w:rPr>
          <w:rFonts w:eastAsiaTheme="minorHAnsi"/>
          <w:szCs w:val="22"/>
          <w:lang w:val="en-US" w:eastAsia="en-US"/>
        </w:rPr>
      </w:pPr>
    </w:p>
    <w:p w:rsidR="00B80E79" w:rsidRPr="00B80E79" w:rsidRDefault="00B80E79" w:rsidP="00B80E79">
      <w:pPr>
        <w:keepNext/>
        <w:autoSpaceDE w:val="0"/>
        <w:autoSpaceDN w:val="0"/>
        <w:adjustRightInd w:val="0"/>
        <w:spacing w:before="120" w:after="120" w:line="360" w:lineRule="auto"/>
        <w:jc w:val="both"/>
        <w:rPr>
          <w:b/>
          <w:i/>
          <w:szCs w:val="22"/>
          <w:lang w:val="en-US"/>
        </w:rPr>
      </w:pPr>
      <w:r w:rsidRPr="00B80E79">
        <w:rPr>
          <w:b/>
          <w:i/>
          <w:szCs w:val="22"/>
          <w:lang w:val="en-US"/>
        </w:rPr>
        <w:t>Estimation techniques</w:t>
      </w:r>
    </w:p>
    <w:p w:rsidR="00B80E79" w:rsidRPr="00B80E79" w:rsidRDefault="00B80E79" w:rsidP="00B80E79">
      <w:pPr>
        <w:autoSpaceDE w:val="0"/>
        <w:autoSpaceDN w:val="0"/>
        <w:adjustRightInd w:val="0"/>
        <w:spacing w:before="120" w:after="120" w:line="360" w:lineRule="auto"/>
        <w:jc w:val="both"/>
        <w:rPr>
          <w:rFonts w:eastAsiaTheme="minorHAnsi"/>
          <w:szCs w:val="22"/>
          <w:lang w:val="en-US" w:eastAsia="en-US"/>
        </w:rPr>
      </w:pPr>
      <w:r w:rsidRPr="00B80E79">
        <w:rPr>
          <w:rFonts w:eastAsiaTheme="minorHAnsi"/>
          <w:szCs w:val="22"/>
          <w:lang w:val="en-US" w:eastAsia="en-US"/>
        </w:rPr>
        <w:t xml:space="preserve">The econometric problems presented above suggest the use of the General Method of Moments (GMM) approach of Arellano &amp; Bond (1991). The GMM technique allows one to deal with the unobserved heterogeneity and the other potential </w:t>
      </w:r>
      <w:proofErr w:type="spellStart"/>
      <w:r w:rsidRPr="00B80E79">
        <w:rPr>
          <w:rFonts w:eastAsiaTheme="minorHAnsi"/>
          <w:szCs w:val="22"/>
          <w:lang w:val="en-US" w:eastAsia="en-US"/>
        </w:rPr>
        <w:t>endogeneity</w:t>
      </w:r>
      <w:proofErr w:type="spellEnd"/>
      <w:r w:rsidRPr="00B80E79">
        <w:rPr>
          <w:rFonts w:eastAsiaTheme="minorHAnsi"/>
          <w:szCs w:val="22"/>
          <w:lang w:val="en-US" w:eastAsia="en-US"/>
        </w:rPr>
        <w:t xml:space="preserve"> problems by implementing a first difference transformation and using instrumental variables (Arellano and&amp; Bond, 1991; Bond, 2002). In order to build the instruments it is especially important with this technique to establish whether the explanatory variables are strictly exogenous, predetermined or endogenous. We believe that the most reasonable assumption is to treat the ratio of affordable dwellings as predetermined, that is, we assume that this variable may be dependent on the level of the past real housing market prices. The variable ratio of affordable dwellings and the lagged dependent variable are instrumented with their levels from </w:t>
      </w:r>
      <w:proofErr w:type="gramStart"/>
      <w:r w:rsidRPr="00B80E79">
        <w:rPr>
          <w:rFonts w:eastAsiaTheme="minorHAnsi"/>
          <w:szCs w:val="22"/>
          <w:lang w:val="en-US" w:eastAsia="en-US"/>
        </w:rPr>
        <w:t>1</w:t>
      </w:r>
      <w:proofErr w:type="gramEnd"/>
      <w:r w:rsidRPr="00B80E79">
        <w:rPr>
          <w:rFonts w:eastAsiaTheme="minorHAnsi"/>
          <w:szCs w:val="22"/>
          <w:lang w:val="en-US" w:eastAsia="en-US"/>
        </w:rPr>
        <w:t xml:space="preserve"> to 2 inclusive in the difference equation. All instruments </w:t>
      </w:r>
      <w:proofErr w:type="gramStart"/>
      <w:r w:rsidRPr="00B80E79">
        <w:rPr>
          <w:rFonts w:eastAsiaTheme="minorHAnsi"/>
          <w:szCs w:val="22"/>
          <w:lang w:val="en-US" w:eastAsia="en-US"/>
        </w:rPr>
        <w:t>are collapsed</w:t>
      </w:r>
      <w:proofErr w:type="gramEnd"/>
      <w:r w:rsidRPr="00B80E79">
        <w:rPr>
          <w:rFonts w:eastAsiaTheme="minorHAnsi"/>
          <w:szCs w:val="22"/>
          <w:lang w:val="en-US" w:eastAsia="en-US"/>
        </w:rPr>
        <w:t xml:space="preserve"> in order to limit the number of instruments (</w:t>
      </w:r>
      <w:proofErr w:type="spellStart"/>
      <w:r w:rsidRPr="00B80E79">
        <w:rPr>
          <w:rFonts w:eastAsiaTheme="minorHAnsi"/>
          <w:szCs w:val="22"/>
          <w:lang w:val="en-US" w:eastAsia="en-US"/>
        </w:rPr>
        <w:t>Roodman</w:t>
      </w:r>
      <w:proofErr w:type="spellEnd"/>
      <w:r w:rsidRPr="00B80E79">
        <w:rPr>
          <w:rFonts w:eastAsiaTheme="minorHAnsi"/>
          <w:szCs w:val="22"/>
          <w:lang w:val="en-US" w:eastAsia="en-US"/>
        </w:rPr>
        <w:t>, 2009).</w:t>
      </w:r>
    </w:p>
    <w:p w:rsidR="00B80E79" w:rsidRPr="00B80E79" w:rsidRDefault="00B80E79" w:rsidP="00B80E79">
      <w:pPr>
        <w:autoSpaceDE w:val="0"/>
        <w:autoSpaceDN w:val="0"/>
        <w:adjustRightInd w:val="0"/>
        <w:spacing w:before="120" w:after="120" w:line="360" w:lineRule="auto"/>
        <w:ind w:firstLine="708"/>
        <w:jc w:val="both"/>
        <w:rPr>
          <w:rFonts w:eastAsiaTheme="minorHAnsi"/>
          <w:color w:val="000000"/>
          <w:szCs w:val="22"/>
          <w:lang w:val="en-US" w:eastAsia="en-US"/>
        </w:rPr>
      </w:pPr>
      <w:r w:rsidRPr="00B80E79">
        <w:rPr>
          <w:rFonts w:eastAsiaTheme="minorHAnsi"/>
          <w:szCs w:val="22"/>
          <w:lang w:val="en-US" w:eastAsia="en-US"/>
        </w:rPr>
        <w:t xml:space="preserve">The consistency of the parameters obtained with the GMM estimator depends on the validity of the instruments. In order to test this consistency two specification tests are considered. </w:t>
      </w:r>
      <w:r w:rsidRPr="00B80E79">
        <w:rPr>
          <w:rFonts w:eastAsiaTheme="minorHAnsi"/>
          <w:color w:val="231F20"/>
          <w:szCs w:val="22"/>
          <w:lang w:val="en-US" w:eastAsia="en-US"/>
        </w:rPr>
        <w:t xml:space="preserve">The first one is the Hansen test of over-identifying restrictions, which tests the null hypothesis of overall validity of the instruments used. Failure to reject this null hypothesis gives support to the choice of the instruments. The test for serial correlation of the error term tests the null hypothesis that the differenced error term is first and second order serially correlated. Failure to reject the null of no second order serial correlation means that original error term is serially uncorrelated and the moment conditions </w:t>
      </w:r>
      <w:proofErr w:type="gramStart"/>
      <w:r w:rsidRPr="00B80E79">
        <w:rPr>
          <w:rFonts w:eastAsiaTheme="minorHAnsi"/>
          <w:color w:val="231F20"/>
          <w:szCs w:val="22"/>
          <w:lang w:val="en-US" w:eastAsia="en-US"/>
        </w:rPr>
        <w:t>are correctly specified</w:t>
      </w:r>
      <w:proofErr w:type="gramEnd"/>
      <w:r w:rsidRPr="00B80E79">
        <w:rPr>
          <w:rFonts w:eastAsiaTheme="minorHAnsi"/>
          <w:color w:val="231F20"/>
          <w:szCs w:val="22"/>
          <w:lang w:val="en-US" w:eastAsia="en-US"/>
        </w:rPr>
        <w:t>.</w:t>
      </w:r>
    </w:p>
    <w:p w:rsidR="00B80E79" w:rsidRPr="00B80E79" w:rsidRDefault="00B80E79" w:rsidP="00B80E79">
      <w:pPr>
        <w:autoSpaceDE w:val="0"/>
        <w:autoSpaceDN w:val="0"/>
        <w:adjustRightInd w:val="0"/>
        <w:spacing w:before="120" w:after="120" w:line="360" w:lineRule="auto"/>
        <w:jc w:val="both"/>
        <w:rPr>
          <w:rFonts w:eastAsiaTheme="minorHAnsi"/>
          <w:color w:val="000000"/>
          <w:szCs w:val="22"/>
          <w:lang w:val="en-US" w:eastAsia="en-US"/>
        </w:rPr>
      </w:pPr>
    </w:p>
    <w:p w:rsidR="00B80E79" w:rsidRPr="00B80E79" w:rsidRDefault="00B80E79" w:rsidP="00B80E79">
      <w:pPr>
        <w:autoSpaceDE w:val="0"/>
        <w:autoSpaceDN w:val="0"/>
        <w:adjustRightInd w:val="0"/>
        <w:spacing w:before="120" w:after="120" w:line="360" w:lineRule="auto"/>
        <w:jc w:val="both"/>
        <w:rPr>
          <w:rFonts w:eastAsiaTheme="minorHAnsi"/>
          <w:b/>
          <w:color w:val="000000"/>
          <w:szCs w:val="22"/>
          <w:lang w:val="en-US" w:eastAsia="en-US"/>
        </w:rPr>
      </w:pPr>
      <w:r w:rsidRPr="00B80E79">
        <w:rPr>
          <w:rFonts w:eastAsiaTheme="minorHAnsi"/>
          <w:b/>
          <w:color w:val="000000"/>
          <w:szCs w:val="22"/>
          <w:lang w:val="en-US" w:eastAsia="en-US"/>
        </w:rPr>
        <w:t>Results</w:t>
      </w:r>
    </w:p>
    <w:p w:rsidR="00B80E79" w:rsidRPr="00B80E79" w:rsidRDefault="00B80E79" w:rsidP="00B80E79">
      <w:pPr>
        <w:autoSpaceDE w:val="0"/>
        <w:autoSpaceDN w:val="0"/>
        <w:adjustRightInd w:val="0"/>
        <w:spacing w:before="120" w:after="120" w:line="360" w:lineRule="auto"/>
        <w:jc w:val="both"/>
        <w:rPr>
          <w:rFonts w:eastAsiaTheme="minorHAnsi"/>
          <w:szCs w:val="22"/>
          <w:lang w:val="en-US" w:eastAsia="en-US"/>
        </w:rPr>
      </w:pPr>
      <w:r w:rsidRPr="00B80E79">
        <w:rPr>
          <w:rFonts w:eastAsiaTheme="minorHAnsi"/>
          <w:color w:val="000000"/>
          <w:szCs w:val="22"/>
          <w:lang w:val="en-US" w:eastAsia="en-US"/>
        </w:rPr>
        <w:t xml:space="preserve">In table </w:t>
      </w:r>
      <w:proofErr w:type="gramStart"/>
      <w:r w:rsidRPr="00B80E79">
        <w:rPr>
          <w:rFonts w:eastAsiaTheme="minorHAnsi"/>
          <w:color w:val="000000"/>
          <w:szCs w:val="22"/>
          <w:lang w:val="en-US" w:eastAsia="en-US"/>
        </w:rPr>
        <w:t>4</w:t>
      </w:r>
      <w:proofErr w:type="gramEnd"/>
      <w:r w:rsidRPr="00B80E79">
        <w:rPr>
          <w:rFonts w:eastAsiaTheme="minorHAnsi"/>
          <w:color w:val="000000"/>
          <w:szCs w:val="22"/>
          <w:lang w:val="en-US" w:eastAsia="en-US"/>
        </w:rPr>
        <w:t xml:space="preserve"> we present the results where the dependent variable is the real housing prices for market dwellings. </w:t>
      </w:r>
      <w:r w:rsidRPr="00B80E79">
        <w:rPr>
          <w:rFonts w:eastAsiaTheme="minorHAnsi"/>
          <w:szCs w:val="22"/>
          <w:lang w:val="en-US" w:eastAsia="en-US"/>
        </w:rPr>
        <w:t xml:space="preserve">We present the results from different specifications. First, an OLS regression (column 1) without taking into account neither the province </w:t>
      </w:r>
      <w:r w:rsidRPr="00B80E79">
        <w:rPr>
          <w:rFonts w:eastAsiaTheme="minorHAnsi"/>
          <w:color w:val="000000"/>
          <w:szCs w:val="22"/>
          <w:lang w:val="en-US" w:eastAsia="en-US"/>
        </w:rPr>
        <w:t xml:space="preserve">unobserved </w:t>
      </w:r>
      <w:r w:rsidRPr="00B80E79">
        <w:rPr>
          <w:rFonts w:eastAsiaTheme="minorHAnsi"/>
          <w:color w:val="000000"/>
          <w:szCs w:val="22"/>
          <w:lang w:val="en-US" w:eastAsia="en-US"/>
        </w:rPr>
        <w:lastRenderedPageBreak/>
        <w:t xml:space="preserve">effects and </w:t>
      </w:r>
      <w:r w:rsidRPr="00B80E79">
        <w:rPr>
          <w:rFonts w:eastAsiaTheme="minorHAnsi"/>
          <w:szCs w:val="22"/>
          <w:lang w:val="en-US" w:eastAsia="en-US"/>
        </w:rPr>
        <w:t xml:space="preserve">nor the persistence nature of real housing market prices. Second, we run an OLS regression with one lagged dependent variable (column 2) accounting for the persistence of the variable real housing market prices. Third, we estimate a fixed effect model including the lagged dependent variable, in addition to control for unobserved province heterogeneity (column 3). Fourth, a difference-GMM Arellano-Bond estimation </w:t>
      </w:r>
      <w:proofErr w:type="gramStart"/>
      <w:r w:rsidRPr="00B80E79">
        <w:rPr>
          <w:rFonts w:eastAsiaTheme="minorHAnsi"/>
          <w:szCs w:val="22"/>
          <w:lang w:val="en-US" w:eastAsia="en-US"/>
        </w:rPr>
        <w:t>is run</w:t>
      </w:r>
      <w:proofErr w:type="gramEnd"/>
      <w:r w:rsidRPr="00B80E79">
        <w:rPr>
          <w:rFonts w:eastAsiaTheme="minorHAnsi"/>
          <w:szCs w:val="22"/>
          <w:lang w:val="en-US" w:eastAsia="en-US"/>
        </w:rPr>
        <w:t xml:space="preserve"> to control for unobserved heterogeneity and </w:t>
      </w:r>
      <w:proofErr w:type="spellStart"/>
      <w:r w:rsidRPr="00B80E79">
        <w:rPr>
          <w:rFonts w:eastAsiaTheme="minorHAnsi"/>
          <w:szCs w:val="22"/>
          <w:lang w:val="en-US" w:eastAsia="en-US"/>
        </w:rPr>
        <w:t>endogeneity</w:t>
      </w:r>
      <w:proofErr w:type="spellEnd"/>
      <w:r w:rsidRPr="00B80E79">
        <w:rPr>
          <w:rFonts w:eastAsiaTheme="minorHAnsi"/>
          <w:szCs w:val="22"/>
          <w:lang w:val="en-US" w:eastAsia="en-US"/>
        </w:rPr>
        <w:t xml:space="preserve"> problems (column 4). The difference-GMM estimator is more appropriate than a system GMM since the time dimension can be considered as large (T&gt;15) (Labra &amp; </w:t>
      </w:r>
      <w:proofErr w:type="spellStart"/>
      <w:r w:rsidRPr="00B80E79">
        <w:rPr>
          <w:rFonts w:eastAsiaTheme="minorHAnsi"/>
          <w:szCs w:val="22"/>
          <w:lang w:val="en-US" w:eastAsia="en-US"/>
        </w:rPr>
        <w:t>Torrecillas</w:t>
      </w:r>
      <w:proofErr w:type="spellEnd"/>
      <w:r w:rsidRPr="00B80E79">
        <w:rPr>
          <w:rFonts w:eastAsiaTheme="minorHAnsi"/>
          <w:szCs w:val="22"/>
          <w:lang w:val="en-US" w:eastAsia="en-US"/>
        </w:rPr>
        <w:t>, 2014). The test of Hansen and the test for serial correlation of the error term are accepted which support the validity of the instruments used. We believe that the difference-GMM estimator gives the most correct estimates with the smallest bias. OLS estimator does not take into account the data’s panel structure and generally produces an upward-biased coefficient for the lagged dependent variable in the presence of unobserved heterogeneity (Bond, 2002). The Fixed Effects estimator, meanwhile, considers the data's panel structure but ignores the correlation between the lagged dependent variable and the regression error producing a downward-biased coefficient estimate for the lagged dependent variable (Nickell, 1981).</w:t>
      </w:r>
    </w:p>
    <w:p w:rsidR="00B80E79" w:rsidRPr="00B80E79" w:rsidRDefault="00B80E79" w:rsidP="00B80E79">
      <w:pPr>
        <w:autoSpaceDE w:val="0"/>
        <w:autoSpaceDN w:val="0"/>
        <w:adjustRightInd w:val="0"/>
        <w:spacing w:before="120" w:after="120" w:line="360" w:lineRule="auto"/>
        <w:ind w:firstLine="708"/>
        <w:jc w:val="both"/>
        <w:rPr>
          <w:rFonts w:eastAsiaTheme="minorHAnsi"/>
          <w:szCs w:val="22"/>
          <w:lang w:val="en-US" w:eastAsia="en-US"/>
        </w:rPr>
      </w:pPr>
      <w:r w:rsidRPr="00B80E79">
        <w:rPr>
          <w:rFonts w:eastAsiaTheme="minorHAnsi"/>
          <w:szCs w:val="22"/>
          <w:lang w:val="en-US" w:eastAsia="en-US"/>
        </w:rPr>
        <w:t>Our main result is that the ratio of affordable dwellings does negatively affect the level of real</w:t>
      </w:r>
      <w:r w:rsidRPr="00B80E79">
        <w:rPr>
          <w:rFonts w:eastAsiaTheme="minorHAnsi"/>
          <w:color w:val="000000"/>
          <w:szCs w:val="22"/>
          <w:lang w:val="en-US" w:eastAsia="en-US"/>
        </w:rPr>
        <w:t xml:space="preserve"> housing market prices. The estimated coefficient for the ratio of affordable dwellings is (-0.212) in the difference-GMM estimation which means that an increase of </w:t>
      </w:r>
      <w:proofErr w:type="gramStart"/>
      <w:r w:rsidRPr="00B80E79">
        <w:rPr>
          <w:rFonts w:eastAsiaTheme="minorHAnsi"/>
          <w:color w:val="000000"/>
          <w:szCs w:val="22"/>
          <w:lang w:val="en-US" w:eastAsia="en-US"/>
        </w:rPr>
        <w:t>1</w:t>
      </w:r>
      <w:proofErr w:type="gramEnd"/>
      <w:r w:rsidRPr="00B80E79">
        <w:rPr>
          <w:rFonts w:eastAsiaTheme="minorHAnsi"/>
          <w:color w:val="000000"/>
          <w:szCs w:val="22"/>
          <w:lang w:val="en-US" w:eastAsia="en-US"/>
        </w:rPr>
        <w:t xml:space="preserve"> unit in the ratio of affordable dwellings will decrease real housing market prices</w:t>
      </w:r>
      <w:r w:rsidRPr="00B80E79">
        <w:rPr>
          <w:rFonts w:eastAsiaTheme="minorHAnsi"/>
          <w:szCs w:val="22"/>
          <w:lang w:val="en-US" w:eastAsia="en-US"/>
        </w:rPr>
        <w:t xml:space="preserve"> in </w:t>
      </w:r>
      <w:r w:rsidRPr="00B80E79">
        <w:rPr>
          <w:rFonts w:eastAsiaTheme="minorHAnsi"/>
          <w:color w:val="000000"/>
          <w:szCs w:val="22"/>
          <w:lang w:val="en-US" w:eastAsia="en-US"/>
        </w:rPr>
        <w:t>21.2 percentage points</w:t>
      </w:r>
      <w:r w:rsidRPr="00B80E79">
        <w:rPr>
          <w:rStyle w:val="Refdenotaalpie"/>
          <w:rFonts w:eastAsiaTheme="minorHAnsi"/>
          <w:szCs w:val="22"/>
          <w:lang w:val="en-US" w:eastAsia="en-US"/>
        </w:rPr>
        <w:footnoteReference w:id="5"/>
      </w:r>
      <w:r w:rsidRPr="00B80E79">
        <w:rPr>
          <w:rFonts w:eastAsiaTheme="minorHAnsi"/>
          <w:szCs w:val="22"/>
          <w:lang w:val="en-US" w:eastAsia="en-US"/>
        </w:rPr>
        <w:t>. This means that if we increase the amount of affordable dwellings built from 10% to 30% of the total units built, housing market prices will drop by 4.24%.</w:t>
      </w:r>
    </w:p>
    <w:p w:rsidR="00B80E79" w:rsidRPr="00B80E79" w:rsidRDefault="00B80E79" w:rsidP="00B80E79">
      <w:pPr>
        <w:autoSpaceDE w:val="0"/>
        <w:autoSpaceDN w:val="0"/>
        <w:adjustRightInd w:val="0"/>
        <w:spacing w:before="120" w:after="120" w:line="360" w:lineRule="auto"/>
        <w:ind w:firstLine="708"/>
        <w:jc w:val="both"/>
        <w:rPr>
          <w:rFonts w:eastAsiaTheme="minorHAnsi"/>
          <w:szCs w:val="22"/>
          <w:lang w:val="en-US" w:eastAsia="en-US"/>
        </w:rPr>
      </w:pPr>
      <w:r w:rsidRPr="00B80E79">
        <w:rPr>
          <w:rFonts w:eastAsiaTheme="minorHAnsi"/>
          <w:szCs w:val="22"/>
          <w:lang w:val="en-US" w:eastAsia="en-US"/>
        </w:rPr>
        <w:t xml:space="preserve">In the OLS estimation without the lagged dependent variable, the coefficient of the ratio of affordable dwellings shows a large and negative effect of 32.9 percentage points on real housing market prices (column 1). The estimated effect becomes smaller in the OLS with lagged dependent (5.7 percentage points, in column 2) when we control for the persistence of the real housing prices. This difference between the coefficients in these two models </w:t>
      </w:r>
      <w:proofErr w:type="gramStart"/>
      <w:r w:rsidRPr="00B80E79">
        <w:rPr>
          <w:rFonts w:eastAsiaTheme="minorHAnsi"/>
          <w:szCs w:val="22"/>
          <w:lang w:val="en-US" w:eastAsia="en-US"/>
        </w:rPr>
        <w:t>was expected</w:t>
      </w:r>
      <w:proofErr w:type="gramEnd"/>
      <w:r w:rsidRPr="00B80E79">
        <w:rPr>
          <w:rFonts w:eastAsiaTheme="minorHAnsi"/>
          <w:szCs w:val="22"/>
          <w:lang w:val="en-US" w:eastAsia="en-US"/>
        </w:rPr>
        <w:t xml:space="preserve"> since the OLS without the lagged dependent variable </w:t>
      </w:r>
      <w:r w:rsidRPr="00B80E79">
        <w:rPr>
          <w:rFonts w:eastAsiaTheme="minorHAnsi"/>
          <w:szCs w:val="22"/>
          <w:lang w:val="en-US" w:eastAsia="en-US"/>
        </w:rPr>
        <w:lastRenderedPageBreak/>
        <w:t>overestimates the effect due to the correlation between past levels of the real housing prices and ratio of affordable dwelling. When we control for the unobserved heterogeneity, the effect (12.4 percentage points, in column 3) is in between those of the previous OLS models</w:t>
      </w:r>
      <w:r w:rsidRPr="00B80E79">
        <w:rPr>
          <w:rStyle w:val="Refdenotaalpie"/>
          <w:rFonts w:eastAsiaTheme="minorHAnsi"/>
          <w:szCs w:val="22"/>
          <w:lang w:val="en-US" w:eastAsia="en-US"/>
        </w:rPr>
        <w:footnoteReference w:id="6"/>
      </w:r>
      <w:r w:rsidRPr="00B80E79">
        <w:rPr>
          <w:rFonts w:eastAsiaTheme="minorHAnsi"/>
          <w:szCs w:val="22"/>
          <w:lang w:val="en-US" w:eastAsia="en-US"/>
        </w:rPr>
        <w:t xml:space="preserve">. </w:t>
      </w:r>
      <w:r w:rsidRPr="00B80E79">
        <w:rPr>
          <w:rFonts w:eastAsiaTheme="minorHAnsi"/>
          <w:color w:val="000000"/>
          <w:szCs w:val="22"/>
          <w:lang w:val="en-US" w:eastAsia="en-US"/>
        </w:rPr>
        <w:t xml:space="preserve">The </w:t>
      </w:r>
      <w:r w:rsidRPr="00B80E79">
        <w:rPr>
          <w:rFonts w:eastAsiaTheme="minorHAnsi"/>
          <w:szCs w:val="22"/>
          <w:lang w:val="en-US" w:eastAsia="en-US"/>
        </w:rPr>
        <w:t xml:space="preserve">coefficient in the difference-GMM estimator is larger than in the fixed effects estimation. This difference could be explained by changes in the ratio of affordable dwellings produced </w:t>
      </w:r>
      <w:proofErr w:type="gramStart"/>
      <w:r w:rsidRPr="00B80E79">
        <w:rPr>
          <w:rFonts w:eastAsiaTheme="minorHAnsi"/>
          <w:szCs w:val="22"/>
          <w:lang w:val="en-US" w:eastAsia="en-US"/>
        </w:rPr>
        <w:t>as a result</w:t>
      </w:r>
      <w:proofErr w:type="gramEnd"/>
      <w:r w:rsidRPr="00B80E79">
        <w:rPr>
          <w:rFonts w:eastAsiaTheme="minorHAnsi"/>
          <w:szCs w:val="22"/>
          <w:lang w:val="en-US" w:eastAsia="en-US"/>
        </w:rPr>
        <w:t xml:space="preserve"> of previous changes in the level of real housing market prices that lead to a downward bias in the fixed effect estimation. </w:t>
      </w:r>
    </w:p>
    <w:p w:rsidR="00B80E79" w:rsidRPr="00B80E79" w:rsidRDefault="00B80E79" w:rsidP="00B80E79">
      <w:pPr>
        <w:autoSpaceDE w:val="0"/>
        <w:autoSpaceDN w:val="0"/>
        <w:adjustRightInd w:val="0"/>
        <w:spacing w:before="120" w:after="120" w:line="360" w:lineRule="auto"/>
        <w:ind w:firstLine="708"/>
        <w:jc w:val="both"/>
        <w:rPr>
          <w:rFonts w:eastAsiaTheme="minorHAnsi"/>
          <w:szCs w:val="22"/>
          <w:lang w:val="en-US" w:eastAsia="en-US"/>
        </w:rPr>
      </w:pPr>
      <w:r w:rsidRPr="00B80E79">
        <w:rPr>
          <w:rFonts w:eastAsiaTheme="minorHAnsi"/>
          <w:color w:val="000000"/>
          <w:szCs w:val="22"/>
          <w:lang w:val="en-US" w:eastAsia="en-US"/>
        </w:rPr>
        <w:t xml:space="preserve">We also find a threshold effect in the relationship between real housing market prices and the ratio of affordable dwellings. This result means that the ratio of affordable dwellings negatively affects real housing market prices until a threshold </w:t>
      </w:r>
      <w:proofErr w:type="gramStart"/>
      <w:r w:rsidRPr="00B80E79">
        <w:rPr>
          <w:rFonts w:eastAsiaTheme="minorHAnsi"/>
          <w:color w:val="000000"/>
          <w:szCs w:val="22"/>
          <w:lang w:val="en-US" w:eastAsia="en-US"/>
        </w:rPr>
        <w:t>is reached</w:t>
      </w:r>
      <w:proofErr w:type="gramEnd"/>
      <w:r w:rsidRPr="00B80E79">
        <w:rPr>
          <w:rFonts w:eastAsiaTheme="minorHAnsi"/>
          <w:color w:val="000000"/>
          <w:szCs w:val="22"/>
          <w:lang w:val="en-US" w:eastAsia="en-US"/>
        </w:rPr>
        <w:t>, from which the effect of the ratio of affordable dwellings on real housing market prices becomes positive. This result is consistent in all estimations. We have tried to approximate the point from which this relationship becomes positive. This occurs, in all estimations, once the number of affordable dwellings completions exceeds the number of market completions, that is, once the number of affordable dwellings built exceeds 50% of the total units constructed.</w:t>
      </w:r>
    </w:p>
    <w:p w:rsidR="00B80E79" w:rsidRPr="00B80E79" w:rsidRDefault="00B80E79" w:rsidP="00B80E79">
      <w:pPr>
        <w:autoSpaceDE w:val="0"/>
        <w:autoSpaceDN w:val="0"/>
        <w:adjustRightInd w:val="0"/>
        <w:spacing w:before="120" w:after="120" w:line="360" w:lineRule="auto"/>
        <w:ind w:firstLine="708"/>
        <w:jc w:val="both"/>
        <w:rPr>
          <w:rFonts w:eastAsiaTheme="minorHAnsi"/>
          <w:color w:val="231F20"/>
          <w:szCs w:val="22"/>
          <w:lang w:val="en-US" w:eastAsia="en-US"/>
        </w:rPr>
      </w:pPr>
      <w:r w:rsidRPr="00B80E79">
        <w:rPr>
          <w:rFonts w:eastAsiaTheme="minorHAnsi"/>
          <w:color w:val="231F20"/>
          <w:szCs w:val="22"/>
          <w:lang w:val="en-US" w:eastAsia="en-US"/>
        </w:rPr>
        <w:t xml:space="preserve">The argument to support the existence of this threshold at the level of 50% relates to tensions in the free housing market between supply and demand, once market housing supply drops below the level of 50% of total new housing supply. That is, the demand of the population who do not meet the conditions to be eligible for an affordable unit is high for the existing offer in the free market and thus housing market prices tend to go up. This is a very relevant question for policy makers since our results show that too high levels of affordable housing construction (in this case over 50% of the total) may create unexpected accessibility problems for other social groups, especially lower medium income groups who are not eligible for an affordable unit but see housing prices increase in the market. Obviously, the level of the threshold would depend upon rent and household’s characteristics set up as eligibility criteria by housing policy makers. Therefore, careful attention </w:t>
      </w:r>
      <w:proofErr w:type="gramStart"/>
      <w:r w:rsidRPr="00B80E79">
        <w:rPr>
          <w:rFonts w:eastAsiaTheme="minorHAnsi"/>
          <w:color w:val="231F20"/>
          <w:szCs w:val="22"/>
          <w:lang w:val="en-US" w:eastAsia="en-US"/>
        </w:rPr>
        <w:t>must be paid</w:t>
      </w:r>
      <w:proofErr w:type="gramEnd"/>
      <w:r w:rsidRPr="00B80E79">
        <w:rPr>
          <w:rFonts w:eastAsiaTheme="minorHAnsi"/>
          <w:color w:val="231F20"/>
          <w:szCs w:val="22"/>
          <w:lang w:val="en-US" w:eastAsia="en-US"/>
        </w:rPr>
        <w:t xml:space="preserve"> when establishing these eligibility conditions for affordable housing to take into account the resulting demand segmentation.</w:t>
      </w:r>
    </w:p>
    <w:p w:rsidR="00B80E79" w:rsidRPr="00B80E79" w:rsidRDefault="00B80E79" w:rsidP="00B80E79">
      <w:pPr>
        <w:autoSpaceDE w:val="0"/>
        <w:autoSpaceDN w:val="0"/>
        <w:adjustRightInd w:val="0"/>
        <w:spacing w:before="120" w:after="120" w:line="360" w:lineRule="auto"/>
        <w:jc w:val="both"/>
        <w:rPr>
          <w:rFonts w:eastAsiaTheme="minorHAnsi"/>
          <w:color w:val="231F20"/>
          <w:szCs w:val="22"/>
          <w:lang w:val="en-US" w:eastAsia="en-US"/>
        </w:rPr>
      </w:pPr>
    </w:p>
    <w:p w:rsidR="00B80E79" w:rsidRPr="00CE773F" w:rsidRDefault="00B80E79" w:rsidP="00B80E79">
      <w:pPr>
        <w:keepNext/>
        <w:autoSpaceDE w:val="0"/>
        <w:autoSpaceDN w:val="0"/>
        <w:adjustRightInd w:val="0"/>
        <w:spacing w:before="120" w:after="120" w:line="360" w:lineRule="auto"/>
        <w:jc w:val="center"/>
        <w:rPr>
          <w:rFonts w:eastAsiaTheme="minorHAnsi"/>
          <w:color w:val="231F20"/>
          <w:sz w:val="22"/>
          <w:szCs w:val="22"/>
          <w:lang w:val="en-US" w:eastAsia="en-US"/>
        </w:rPr>
      </w:pPr>
      <w:r w:rsidRPr="00CE773F">
        <w:rPr>
          <w:rFonts w:eastAsiaTheme="minorHAnsi"/>
          <w:color w:val="231F20"/>
          <w:sz w:val="22"/>
          <w:szCs w:val="22"/>
          <w:lang w:val="en-US" w:eastAsia="en-US"/>
        </w:rPr>
        <w:t xml:space="preserve">Table </w:t>
      </w:r>
      <w:r>
        <w:rPr>
          <w:rFonts w:eastAsiaTheme="minorHAnsi"/>
          <w:color w:val="231F20"/>
          <w:sz w:val="22"/>
          <w:szCs w:val="22"/>
          <w:lang w:val="en-US" w:eastAsia="en-US"/>
        </w:rPr>
        <w:t>4</w:t>
      </w:r>
      <w:r w:rsidRPr="00CE773F">
        <w:rPr>
          <w:rFonts w:eastAsiaTheme="minorHAnsi"/>
          <w:color w:val="231F20"/>
          <w:sz w:val="22"/>
          <w:szCs w:val="22"/>
          <w:lang w:val="en-US" w:eastAsia="en-US"/>
        </w:rPr>
        <w:t>. Results</w:t>
      </w:r>
    </w:p>
    <w:p w:rsidR="00B80E79" w:rsidRPr="00DD0BF5" w:rsidRDefault="00B80E79" w:rsidP="00B80E79">
      <w:pPr>
        <w:keepNext/>
        <w:autoSpaceDE w:val="0"/>
        <w:autoSpaceDN w:val="0"/>
        <w:adjustRightInd w:val="0"/>
        <w:spacing w:before="120" w:after="120" w:line="360" w:lineRule="auto"/>
        <w:rPr>
          <w:rFonts w:eastAsiaTheme="minorHAnsi"/>
          <w:color w:val="231F20"/>
          <w:sz w:val="22"/>
          <w:szCs w:val="22"/>
          <w:lang w:val="en-US" w:eastAsia="en-US"/>
        </w:rPr>
      </w:pPr>
      <w:r w:rsidRPr="00DD0BF5">
        <w:rPr>
          <w:rFonts w:eastAsiaTheme="minorHAnsi"/>
          <w:color w:val="231F20"/>
          <w:sz w:val="22"/>
          <w:szCs w:val="22"/>
          <w:lang w:val="en-US" w:eastAsia="en-US"/>
        </w:rPr>
        <w:t xml:space="preserve">Dependent variable: </w:t>
      </w:r>
      <w:r w:rsidRPr="00DD0BF5">
        <w:rPr>
          <w:sz w:val="22"/>
          <w:szCs w:val="22"/>
          <w:lang w:val="en-US"/>
        </w:rPr>
        <w:t xml:space="preserve">Real </w:t>
      </w:r>
      <w:r>
        <w:rPr>
          <w:sz w:val="22"/>
          <w:szCs w:val="22"/>
          <w:lang w:val="en-US"/>
        </w:rPr>
        <w:t>housing market prices</w:t>
      </w:r>
      <w:r w:rsidRPr="00DD0BF5">
        <w:rPr>
          <w:sz w:val="22"/>
          <w:szCs w:val="22"/>
          <w:lang w:val="en-US"/>
        </w:rPr>
        <w:t xml:space="preserve"> (log)</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865"/>
        <w:gridCol w:w="781"/>
        <w:gridCol w:w="304"/>
        <w:gridCol w:w="111"/>
        <w:gridCol w:w="35"/>
        <w:gridCol w:w="870"/>
        <w:gridCol w:w="637"/>
        <w:gridCol w:w="1175"/>
        <w:gridCol w:w="419"/>
        <w:gridCol w:w="1031"/>
        <w:gridCol w:w="416"/>
      </w:tblGrid>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color w:val="000000"/>
                <w:sz w:val="18"/>
                <w:szCs w:val="22"/>
              </w:rPr>
              <w:t>Variable</w:t>
            </w:r>
          </w:p>
        </w:tc>
        <w:tc>
          <w:tcPr>
            <w:tcW w:w="724" w:type="pct"/>
            <w:gridSpan w:val="3"/>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color w:val="000000"/>
                <w:sz w:val="18"/>
                <w:szCs w:val="22"/>
              </w:rPr>
              <w:t>OLS</w:t>
            </w:r>
          </w:p>
        </w:tc>
        <w:tc>
          <w:tcPr>
            <w:tcW w:w="964" w:type="pct"/>
            <w:gridSpan w:val="3"/>
            <w:tcBorders>
              <w:bottom w:val="single" w:sz="4" w:space="0" w:color="BFBFBF" w:themeColor="background1" w:themeShade="BF"/>
            </w:tcBorders>
            <w:vAlign w:val="center"/>
          </w:tcPr>
          <w:p w:rsidR="00B80E79" w:rsidRPr="00DD0BF5" w:rsidRDefault="00B80E79" w:rsidP="00B95B72">
            <w:pPr>
              <w:keepNext/>
              <w:contextualSpacing/>
              <w:jc w:val="both"/>
              <w:rPr>
                <w:color w:val="000000"/>
                <w:sz w:val="18"/>
                <w:szCs w:val="22"/>
              </w:rPr>
            </w:pPr>
            <w:r w:rsidRPr="00DD0BF5">
              <w:rPr>
                <w:color w:val="000000"/>
                <w:sz w:val="18"/>
                <w:szCs w:val="22"/>
              </w:rPr>
              <w:t xml:space="preserve">OLS </w:t>
            </w:r>
            <w:proofErr w:type="spellStart"/>
            <w:r w:rsidRPr="00DD0BF5">
              <w:rPr>
                <w:color w:val="000000"/>
                <w:sz w:val="18"/>
                <w:szCs w:val="22"/>
              </w:rPr>
              <w:t>with</w:t>
            </w:r>
            <w:proofErr w:type="spellEnd"/>
          </w:p>
          <w:p w:rsidR="00B80E79" w:rsidRPr="00DD0BF5" w:rsidRDefault="00B80E79" w:rsidP="00B95B72">
            <w:pPr>
              <w:keepNext/>
              <w:contextualSpacing/>
              <w:jc w:val="both"/>
              <w:rPr>
                <w:color w:val="000000"/>
                <w:sz w:val="18"/>
                <w:szCs w:val="22"/>
              </w:rPr>
            </w:pPr>
            <w:proofErr w:type="spellStart"/>
            <w:r w:rsidRPr="00DD0BF5">
              <w:rPr>
                <w:color w:val="000000"/>
                <w:sz w:val="18"/>
                <w:szCs w:val="22"/>
              </w:rPr>
              <w:t>lagged</w:t>
            </w:r>
            <w:proofErr w:type="spellEnd"/>
            <w:r w:rsidRPr="00DD0BF5">
              <w:rPr>
                <w:color w:val="000000"/>
                <w:sz w:val="18"/>
                <w:szCs w:val="22"/>
              </w:rPr>
              <w:t xml:space="preserve"> </w:t>
            </w:r>
            <w:proofErr w:type="spellStart"/>
            <w:r w:rsidRPr="00DD0BF5">
              <w:rPr>
                <w:color w:val="000000"/>
                <w:sz w:val="18"/>
                <w:szCs w:val="22"/>
              </w:rPr>
              <w:t>dependent</w:t>
            </w:r>
            <w:proofErr w:type="spellEnd"/>
          </w:p>
        </w:tc>
        <w:tc>
          <w:tcPr>
            <w:tcW w:w="957" w:type="pct"/>
            <w:gridSpan w:val="2"/>
            <w:tcBorders>
              <w:bottom w:val="single" w:sz="4" w:space="0" w:color="BFBFBF" w:themeColor="background1" w:themeShade="BF"/>
            </w:tcBorders>
            <w:vAlign w:val="center"/>
          </w:tcPr>
          <w:p w:rsidR="00B80E79" w:rsidRPr="00DD0BF5" w:rsidRDefault="00B80E79" w:rsidP="00B95B72">
            <w:pPr>
              <w:keepNext/>
              <w:contextualSpacing/>
              <w:jc w:val="both"/>
              <w:rPr>
                <w:color w:val="000000"/>
                <w:sz w:val="18"/>
                <w:szCs w:val="22"/>
                <w:lang w:val="en-US"/>
              </w:rPr>
            </w:pPr>
            <w:r w:rsidRPr="00DD0BF5">
              <w:rPr>
                <w:color w:val="000000"/>
                <w:sz w:val="18"/>
                <w:szCs w:val="22"/>
                <w:lang w:val="en-US"/>
              </w:rPr>
              <w:t>Fixed Effects with lagged dependent</w:t>
            </w:r>
          </w:p>
        </w:tc>
        <w:tc>
          <w:tcPr>
            <w:tcW w:w="873" w:type="pct"/>
            <w:gridSpan w:val="2"/>
            <w:tcBorders>
              <w:bottom w:val="single" w:sz="4" w:space="0" w:color="BFBFBF" w:themeColor="background1" w:themeShade="BF"/>
            </w:tcBorders>
            <w:vAlign w:val="center"/>
          </w:tcPr>
          <w:p w:rsidR="00B80E79" w:rsidRPr="00DD0BF5" w:rsidRDefault="00B80E79" w:rsidP="00B95B72">
            <w:pPr>
              <w:keepNext/>
              <w:contextualSpacing/>
              <w:jc w:val="both"/>
              <w:rPr>
                <w:color w:val="000000"/>
                <w:sz w:val="18"/>
                <w:szCs w:val="22"/>
                <w:lang w:val="en-US"/>
              </w:rPr>
            </w:pPr>
            <w:r w:rsidRPr="00DD0BF5">
              <w:rPr>
                <w:color w:val="000000"/>
                <w:sz w:val="18"/>
                <w:szCs w:val="22"/>
                <w:lang w:val="en-US"/>
              </w:rPr>
              <w:t>Difference-GMM</w:t>
            </w: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color w:val="000000"/>
                <w:sz w:val="18"/>
                <w:szCs w:val="22"/>
                <w:lang w:val="en-US"/>
              </w:rPr>
            </w:pPr>
            <w:r w:rsidRPr="00DD0BF5">
              <w:rPr>
                <w:sz w:val="18"/>
                <w:szCs w:val="20"/>
                <w:lang w:val="en-US"/>
              </w:rPr>
              <w:t>Real</w:t>
            </w:r>
            <w:r>
              <w:rPr>
                <w:sz w:val="18"/>
                <w:szCs w:val="20"/>
                <w:lang w:val="en-US"/>
              </w:rPr>
              <w:t xml:space="preserve"> housing market prices</w:t>
            </w:r>
            <w:r w:rsidRPr="00DD0BF5">
              <w:rPr>
                <w:color w:val="000000"/>
                <w:sz w:val="18"/>
                <w:szCs w:val="22"/>
                <w:lang w:val="en-US"/>
              </w:rPr>
              <w:t xml:space="preserve"> (t-1) (log)</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color w:val="000000"/>
                <w:sz w:val="18"/>
                <w:szCs w:val="22"/>
                <w:lang w:val="en-US"/>
              </w:rPr>
            </w:pPr>
          </w:p>
        </w:tc>
        <w:tc>
          <w:tcPr>
            <w:tcW w:w="255" w:type="pct"/>
            <w:gridSpan w:val="2"/>
            <w:tcBorders>
              <w:left w:val="nil"/>
            </w:tcBorders>
            <w:vAlign w:val="center"/>
          </w:tcPr>
          <w:p w:rsidR="00B80E79" w:rsidRPr="00DD0BF5" w:rsidRDefault="00B80E79" w:rsidP="00B95B72">
            <w:pPr>
              <w:keepNext/>
              <w:contextualSpacing/>
              <w:jc w:val="both"/>
              <w:rPr>
                <w:color w:val="000000"/>
                <w:sz w:val="18"/>
                <w:szCs w:val="22"/>
                <w:lang w:val="en-US"/>
              </w:rPr>
            </w:pPr>
          </w:p>
        </w:tc>
        <w:tc>
          <w:tcPr>
            <w:tcW w:w="578" w:type="pct"/>
            <w:gridSpan w:val="2"/>
            <w:tcBorders>
              <w:right w:val="nil"/>
            </w:tcBorders>
            <w:vAlign w:val="center"/>
          </w:tcPr>
          <w:p w:rsidR="00B80E79" w:rsidRPr="00DD0BF5" w:rsidRDefault="00B80E79" w:rsidP="00B95B72">
            <w:pPr>
              <w:keepNext/>
              <w:contextualSpacing/>
              <w:jc w:val="both"/>
              <w:rPr>
                <w:color w:val="000000"/>
                <w:sz w:val="18"/>
                <w:szCs w:val="22"/>
              </w:rPr>
            </w:pPr>
            <w:r w:rsidRPr="00DD0BF5">
              <w:rPr>
                <w:color w:val="000000"/>
                <w:sz w:val="18"/>
                <w:szCs w:val="22"/>
              </w:rPr>
              <w:t>.912</w:t>
            </w:r>
          </w:p>
          <w:p w:rsidR="00B80E79" w:rsidRPr="00DD0BF5" w:rsidRDefault="00B80E79" w:rsidP="00B95B72">
            <w:pPr>
              <w:keepNext/>
              <w:contextualSpacing/>
              <w:jc w:val="both"/>
              <w:rPr>
                <w:color w:val="000000"/>
                <w:sz w:val="18"/>
                <w:szCs w:val="22"/>
              </w:rPr>
            </w:pPr>
            <w:r w:rsidRPr="00DD0BF5">
              <w:rPr>
                <w:color w:val="000000"/>
                <w:sz w:val="18"/>
                <w:szCs w:val="22"/>
              </w:rPr>
              <w:t>(.007)</w:t>
            </w:r>
          </w:p>
        </w:tc>
        <w:tc>
          <w:tcPr>
            <w:tcW w:w="386"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97"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.776</w:t>
            </w:r>
          </w:p>
          <w:p w:rsidR="00B80E79" w:rsidRPr="00DD0BF5" w:rsidRDefault="00B80E79" w:rsidP="00B95B72">
            <w:pPr>
              <w:keepNext/>
              <w:contextualSpacing/>
              <w:jc w:val="both"/>
              <w:rPr>
                <w:color w:val="000000"/>
                <w:sz w:val="18"/>
                <w:szCs w:val="22"/>
              </w:rPr>
            </w:pPr>
            <w:r>
              <w:rPr>
                <w:color w:val="000000"/>
                <w:sz w:val="18"/>
                <w:szCs w:val="22"/>
              </w:rPr>
              <w:t>(.017)</w:t>
            </w:r>
          </w:p>
        </w:tc>
        <w:tc>
          <w:tcPr>
            <w:tcW w:w="260"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14"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.839</w:t>
            </w:r>
          </w:p>
          <w:p w:rsidR="00B80E79" w:rsidRPr="00DD0BF5" w:rsidRDefault="00B80E79" w:rsidP="00B95B72">
            <w:pPr>
              <w:keepNext/>
              <w:contextualSpacing/>
              <w:jc w:val="both"/>
              <w:rPr>
                <w:color w:val="000000"/>
                <w:sz w:val="18"/>
                <w:szCs w:val="22"/>
              </w:rPr>
            </w:pPr>
            <w:r>
              <w:rPr>
                <w:color w:val="000000"/>
                <w:sz w:val="18"/>
                <w:szCs w:val="22"/>
              </w:rPr>
              <w:t>(.049)</w:t>
            </w:r>
          </w:p>
        </w:tc>
        <w:tc>
          <w:tcPr>
            <w:tcW w:w="259"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sz w:val="18"/>
                <w:szCs w:val="20"/>
                <w:lang w:val="en-US"/>
              </w:rPr>
              <w:t xml:space="preserve">Ratio </w:t>
            </w:r>
            <w:r>
              <w:rPr>
                <w:sz w:val="18"/>
                <w:szCs w:val="20"/>
                <w:lang w:val="en-US"/>
              </w:rPr>
              <w:t>affordable</w:t>
            </w:r>
            <w:r w:rsidRPr="00DD0BF5">
              <w:rPr>
                <w:sz w:val="18"/>
                <w:szCs w:val="20"/>
                <w:lang w:val="en-US"/>
              </w:rPr>
              <w:t xml:space="preserve"> dwelling</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color w:val="000000"/>
                <w:sz w:val="18"/>
                <w:szCs w:val="22"/>
              </w:rPr>
              <w:t>-.329</w:t>
            </w:r>
          </w:p>
          <w:p w:rsidR="00B80E79" w:rsidRPr="00DD0BF5" w:rsidRDefault="00B80E79" w:rsidP="00B95B72">
            <w:pPr>
              <w:keepNext/>
              <w:contextualSpacing/>
              <w:jc w:val="both"/>
              <w:rPr>
                <w:color w:val="000000"/>
                <w:sz w:val="18"/>
                <w:szCs w:val="22"/>
              </w:rPr>
            </w:pPr>
            <w:r w:rsidRPr="00DD0BF5">
              <w:rPr>
                <w:color w:val="000000"/>
                <w:sz w:val="18"/>
                <w:szCs w:val="22"/>
              </w:rPr>
              <w:t>(.079)</w:t>
            </w:r>
          </w:p>
        </w:tc>
        <w:tc>
          <w:tcPr>
            <w:tcW w:w="255" w:type="pct"/>
            <w:gridSpan w:val="2"/>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578" w:type="pct"/>
            <w:gridSpan w:val="2"/>
            <w:tcBorders>
              <w:right w:val="nil"/>
            </w:tcBorders>
            <w:vAlign w:val="center"/>
          </w:tcPr>
          <w:p w:rsidR="00B80E79" w:rsidRPr="00DD0BF5" w:rsidRDefault="00B80E79" w:rsidP="00B95B72">
            <w:pPr>
              <w:keepNext/>
              <w:contextualSpacing/>
              <w:jc w:val="both"/>
              <w:rPr>
                <w:color w:val="000000"/>
                <w:sz w:val="18"/>
                <w:szCs w:val="22"/>
              </w:rPr>
            </w:pPr>
            <w:r w:rsidRPr="00DD0BF5">
              <w:rPr>
                <w:color w:val="000000"/>
                <w:sz w:val="18"/>
                <w:szCs w:val="22"/>
              </w:rPr>
              <w:t>-.057</w:t>
            </w:r>
          </w:p>
          <w:p w:rsidR="00B80E79" w:rsidRPr="00DD0BF5" w:rsidRDefault="00B80E79" w:rsidP="00B95B72">
            <w:pPr>
              <w:keepNext/>
              <w:contextualSpacing/>
              <w:jc w:val="both"/>
              <w:rPr>
                <w:color w:val="000000"/>
                <w:sz w:val="18"/>
                <w:szCs w:val="22"/>
              </w:rPr>
            </w:pPr>
            <w:r w:rsidRPr="00DD0BF5">
              <w:rPr>
                <w:color w:val="000000"/>
                <w:sz w:val="18"/>
                <w:szCs w:val="22"/>
              </w:rPr>
              <w:t>(.012)</w:t>
            </w:r>
          </w:p>
        </w:tc>
        <w:tc>
          <w:tcPr>
            <w:tcW w:w="386"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97"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-.124</w:t>
            </w:r>
          </w:p>
          <w:p w:rsidR="00B80E79" w:rsidRPr="00DD0BF5" w:rsidRDefault="00B80E79" w:rsidP="00B95B72">
            <w:pPr>
              <w:keepNext/>
              <w:contextualSpacing/>
              <w:jc w:val="both"/>
              <w:rPr>
                <w:color w:val="000000"/>
                <w:sz w:val="18"/>
                <w:szCs w:val="22"/>
              </w:rPr>
            </w:pPr>
            <w:r>
              <w:rPr>
                <w:color w:val="000000"/>
                <w:sz w:val="18"/>
                <w:szCs w:val="22"/>
              </w:rPr>
              <w:t>(.015)</w:t>
            </w:r>
          </w:p>
        </w:tc>
        <w:tc>
          <w:tcPr>
            <w:tcW w:w="260"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14"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-.212</w:t>
            </w:r>
          </w:p>
          <w:p w:rsidR="00B80E79" w:rsidRPr="00DD0BF5" w:rsidRDefault="00B80E79" w:rsidP="00B95B72">
            <w:pPr>
              <w:keepNext/>
              <w:contextualSpacing/>
              <w:jc w:val="both"/>
              <w:rPr>
                <w:color w:val="000000"/>
                <w:sz w:val="18"/>
                <w:szCs w:val="22"/>
              </w:rPr>
            </w:pPr>
            <w:r>
              <w:rPr>
                <w:color w:val="000000"/>
                <w:sz w:val="18"/>
                <w:szCs w:val="22"/>
              </w:rPr>
              <w:t>(.037)</w:t>
            </w:r>
          </w:p>
        </w:tc>
        <w:tc>
          <w:tcPr>
            <w:tcW w:w="259"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sz w:val="18"/>
                <w:szCs w:val="20"/>
                <w:lang w:val="en-US"/>
              </w:rPr>
              <w:t xml:space="preserve">Squared Ratio </w:t>
            </w:r>
            <w:r>
              <w:rPr>
                <w:sz w:val="18"/>
                <w:szCs w:val="20"/>
                <w:lang w:val="en-US"/>
              </w:rPr>
              <w:t>affordable</w:t>
            </w:r>
            <w:r w:rsidRPr="00DD0BF5">
              <w:rPr>
                <w:sz w:val="18"/>
                <w:szCs w:val="20"/>
                <w:lang w:val="en-US"/>
              </w:rPr>
              <w:t xml:space="preserve"> dwelling</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color w:val="000000"/>
                <w:sz w:val="18"/>
                <w:szCs w:val="22"/>
              </w:rPr>
              <w:t>.096</w:t>
            </w:r>
          </w:p>
          <w:p w:rsidR="00B80E79" w:rsidRPr="00DD0BF5" w:rsidRDefault="00B80E79" w:rsidP="00B95B72">
            <w:pPr>
              <w:keepNext/>
              <w:contextualSpacing/>
              <w:jc w:val="both"/>
              <w:rPr>
                <w:color w:val="000000"/>
                <w:sz w:val="18"/>
                <w:szCs w:val="22"/>
              </w:rPr>
            </w:pPr>
            <w:r w:rsidRPr="00DD0BF5">
              <w:rPr>
                <w:color w:val="000000"/>
                <w:sz w:val="18"/>
                <w:szCs w:val="22"/>
              </w:rPr>
              <w:t>(.017)</w:t>
            </w:r>
          </w:p>
        </w:tc>
        <w:tc>
          <w:tcPr>
            <w:tcW w:w="255" w:type="pct"/>
            <w:gridSpan w:val="2"/>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578" w:type="pct"/>
            <w:gridSpan w:val="2"/>
            <w:tcBorders>
              <w:right w:val="nil"/>
            </w:tcBorders>
            <w:vAlign w:val="center"/>
          </w:tcPr>
          <w:p w:rsidR="00B80E79" w:rsidRPr="00DD0BF5" w:rsidRDefault="00B80E79" w:rsidP="00B95B72">
            <w:pPr>
              <w:keepNext/>
              <w:contextualSpacing/>
              <w:jc w:val="both"/>
              <w:rPr>
                <w:color w:val="000000"/>
                <w:sz w:val="18"/>
                <w:szCs w:val="22"/>
              </w:rPr>
            </w:pPr>
            <w:r w:rsidRPr="00DD0BF5">
              <w:rPr>
                <w:color w:val="000000"/>
                <w:sz w:val="18"/>
                <w:szCs w:val="22"/>
              </w:rPr>
              <w:t>.012</w:t>
            </w:r>
          </w:p>
          <w:p w:rsidR="00B80E79" w:rsidRPr="00DD0BF5" w:rsidRDefault="00B80E79" w:rsidP="00B95B72">
            <w:pPr>
              <w:keepNext/>
              <w:contextualSpacing/>
              <w:jc w:val="both"/>
              <w:rPr>
                <w:color w:val="000000"/>
                <w:sz w:val="18"/>
                <w:szCs w:val="22"/>
              </w:rPr>
            </w:pPr>
            <w:r w:rsidRPr="00DD0BF5">
              <w:rPr>
                <w:color w:val="000000"/>
                <w:sz w:val="18"/>
                <w:szCs w:val="22"/>
              </w:rPr>
              <w:t>(.003)</w:t>
            </w:r>
          </w:p>
        </w:tc>
        <w:tc>
          <w:tcPr>
            <w:tcW w:w="386"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97"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.022</w:t>
            </w:r>
          </w:p>
          <w:p w:rsidR="00B80E79" w:rsidRPr="00DD0BF5" w:rsidRDefault="00B80E79" w:rsidP="00B95B72">
            <w:pPr>
              <w:keepNext/>
              <w:contextualSpacing/>
              <w:jc w:val="both"/>
              <w:rPr>
                <w:color w:val="000000"/>
                <w:sz w:val="18"/>
                <w:szCs w:val="22"/>
              </w:rPr>
            </w:pPr>
            <w:r>
              <w:rPr>
                <w:color w:val="000000"/>
                <w:sz w:val="18"/>
                <w:szCs w:val="22"/>
              </w:rPr>
              <w:t>(.003)</w:t>
            </w:r>
          </w:p>
        </w:tc>
        <w:tc>
          <w:tcPr>
            <w:tcW w:w="260"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14"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.040</w:t>
            </w:r>
          </w:p>
          <w:p w:rsidR="00B80E79" w:rsidRPr="00DD0BF5" w:rsidRDefault="00B80E79" w:rsidP="00B95B72">
            <w:pPr>
              <w:keepNext/>
              <w:contextualSpacing/>
              <w:jc w:val="both"/>
              <w:rPr>
                <w:color w:val="000000"/>
                <w:sz w:val="18"/>
                <w:szCs w:val="22"/>
              </w:rPr>
            </w:pPr>
            <w:r>
              <w:rPr>
                <w:color w:val="000000"/>
                <w:sz w:val="18"/>
                <w:szCs w:val="22"/>
              </w:rPr>
              <w:t>(.008)</w:t>
            </w:r>
          </w:p>
        </w:tc>
        <w:tc>
          <w:tcPr>
            <w:tcW w:w="259"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0"/>
                <w:lang w:val="en-US"/>
              </w:rPr>
              <w:t>Real disposable income (log)</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.169</w:t>
            </w:r>
          </w:p>
          <w:p w:rsidR="00B80E79" w:rsidRPr="00DD0BF5" w:rsidRDefault="00B80E79" w:rsidP="00B95B72">
            <w:pPr>
              <w:keepNext/>
              <w:contextualSpacing/>
              <w:jc w:val="both"/>
              <w:rPr>
                <w:sz w:val="18"/>
                <w:szCs w:val="22"/>
              </w:rPr>
            </w:pPr>
            <w:r w:rsidRPr="00DD0BF5">
              <w:rPr>
                <w:sz w:val="18"/>
                <w:szCs w:val="22"/>
              </w:rPr>
              <w:t>(.011)</w:t>
            </w:r>
          </w:p>
        </w:tc>
        <w:tc>
          <w:tcPr>
            <w:tcW w:w="255" w:type="pct"/>
            <w:gridSpan w:val="2"/>
            <w:tcBorders>
              <w:left w:val="nil"/>
            </w:tcBorders>
            <w:vAlign w:val="bottom"/>
          </w:tcPr>
          <w:p w:rsidR="00B80E79" w:rsidRPr="00DD0BF5" w:rsidRDefault="00B80E79" w:rsidP="00B95B72">
            <w:pPr>
              <w:keepNext/>
              <w:contextualSpacing/>
              <w:jc w:val="both"/>
              <w:rPr>
                <w:sz w:val="18"/>
                <w:szCs w:val="22"/>
              </w:rPr>
            </w:pPr>
            <w:r w:rsidRPr="00DD0BF5">
              <w:rPr>
                <w:sz w:val="18"/>
                <w:szCs w:val="22"/>
              </w:rPr>
              <w:t>***</w:t>
            </w:r>
          </w:p>
        </w:tc>
        <w:tc>
          <w:tcPr>
            <w:tcW w:w="578" w:type="pct"/>
            <w:gridSpan w:val="2"/>
            <w:tcBorders>
              <w:right w:val="nil"/>
            </w:tcBorders>
            <w:vAlign w:val="center"/>
          </w:tcPr>
          <w:p w:rsidR="00B80E79" w:rsidRPr="00DD0BF5" w:rsidRDefault="00B80E79" w:rsidP="00B95B72">
            <w:pPr>
              <w:keepNext/>
              <w:contextualSpacing/>
              <w:jc w:val="both"/>
              <w:rPr>
                <w:sz w:val="18"/>
                <w:szCs w:val="22"/>
              </w:rPr>
            </w:pPr>
            <w:r w:rsidRPr="00DD0BF5">
              <w:rPr>
                <w:sz w:val="18"/>
                <w:szCs w:val="22"/>
              </w:rPr>
              <w:t>.018</w:t>
            </w:r>
          </w:p>
          <w:p w:rsidR="00B80E79" w:rsidRPr="00DD0BF5" w:rsidRDefault="00B80E79" w:rsidP="00B95B72">
            <w:pPr>
              <w:keepNext/>
              <w:contextualSpacing/>
              <w:jc w:val="both"/>
              <w:rPr>
                <w:sz w:val="18"/>
                <w:szCs w:val="22"/>
              </w:rPr>
            </w:pPr>
            <w:r w:rsidRPr="00DD0BF5">
              <w:rPr>
                <w:sz w:val="18"/>
                <w:szCs w:val="22"/>
              </w:rPr>
              <w:t>(.003)</w:t>
            </w:r>
          </w:p>
        </w:tc>
        <w:tc>
          <w:tcPr>
            <w:tcW w:w="386" w:type="pct"/>
            <w:tcBorders>
              <w:left w:val="nil"/>
            </w:tcBorders>
            <w:vAlign w:val="bottom"/>
          </w:tcPr>
          <w:p w:rsidR="00B80E79" w:rsidRPr="00DD0BF5" w:rsidRDefault="00B80E79" w:rsidP="00B95B72">
            <w:pPr>
              <w:keepNext/>
              <w:contextualSpacing/>
              <w:jc w:val="both"/>
              <w:rPr>
                <w:sz w:val="18"/>
                <w:szCs w:val="22"/>
              </w:rPr>
            </w:pPr>
            <w:r w:rsidRPr="00DD0BF5">
              <w:rPr>
                <w:sz w:val="18"/>
                <w:szCs w:val="22"/>
              </w:rPr>
              <w:t>**</w:t>
            </w:r>
          </w:p>
        </w:tc>
        <w:tc>
          <w:tcPr>
            <w:tcW w:w="697" w:type="pct"/>
            <w:tcBorders>
              <w:right w:val="nil"/>
            </w:tcBorders>
            <w:vAlign w:val="center"/>
          </w:tcPr>
          <w:p w:rsidR="00B80E79" w:rsidRDefault="00B80E79" w:rsidP="00B95B72">
            <w:pPr>
              <w:keepNext/>
              <w:contextualSpacing/>
              <w:jc w:val="both"/>
              <w:rPr>
                <w:sz w:val="18"/>
                <w:szCs w:val="22"/>
              </w:rPr>
            </w:pPr>
            <w:r>
              <w:rPr>
                <w:sz w:val="18"/>
                <w:szCs w:val="22"/>
              </w:rPr>
              <w:t>-</w:t>
            </w:r>
            <w:r w:rsidRPr="00DD0BF5">
              <w:rPr>
                <w:sz w:val="18"/>
                <w:szCs w:val="22"/>
              </w:rPr>
              <w:t>.011</w:t>
            </w:r>
          </w:p>
          <w:p w:rsidR="00B80E79" w:rsidRPr="00DD0BF5" w:rsidRDefault="00B80E79" w:rsidP="00B95B72">
            <w:pPr>
              <w:keepNext/>
              <w:contextualSpacing/>
              <w:jc w:val="both"/>
              <w:rPr>
                <w:sz w:val="18"/>
                <w:szCs w:val="22"/>
              </w:rPr>
            </w:pPr>
            <w:r>
              <w:rPr>
                <w:sz w:val="18"/>
                <w:szCs w:val="22"/>
              </w:rPr>
              <w:t>(.044)</w:t>
            </w:r>
          </w:p>
        </w:tc>
        <w:tc>
          <w:tcPr>
            <w:tcW w:w="260" w:type="pct"/>
            <w:tcBorders>
              <w:left w:val="nil"/>
            </w:tcBorders>
            <w:vAlign w:val="bottom"/>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Default="00B80E79" w:rsidP="00B95B72">
            <w:pPr>
              <w:keepNext/>
              <w:contextualSpacing/>
              <w:jc w:val="both"/>
              <w:rPr>
                <w:sz w:val="18"/>
                <w:szCs w:val="22"/>
              </w:rPr>
            </w:pPr>
            <w:r>
              <w:rPr>
                <w:sz w:val="18"/>
                <w:szCs w:val="22"/>
              </w:rPr>
              <w:t>-</w:t>
            </w:r>
            <w:r w:rsidRPr="00DD0BF5">
              <w:rPr>
                <w:sz w:val="18"/>
                <w:szCs w:val="22"/>
              </w:rPr>
              <w:t>.167</w:t>
            </w:r>
          </w:p>
          <w:p w:rsidR="00B80E79" w:rsidRPr="00DD0BF5" w:rsidRDefault="00B80E79" w:rsidP="00B95B72">
            <w:pPr>
              <w:keepNext/>
              <w:contextualSpacing/>
              <w:jc w:val="both"/>
              <w:rPr>
                <w:sz w:val="18"/>
                <w:szCs w:val="22"/>
              </w:rPr>
            </w:pPr>
            <w:r>
              <w:rPr>
                <w:sz w:val="18"/>
                <w:szCs w:val="22"/>
              </w:rPr>
              <w:t>(.097)</w:t>
            </w:r>
          </w:p>
        </w:tc>
        <w:tc>
          <w:tcPr>
            <w:tcW w:w="259" w:type="pct"/>
            <w:tcBorders>
              <w:left w:val="nil"/>
            </w:tcBorders>
            <w:vAlign w:val="bottom"/>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sz w:val="18"/>
                <w:szCs w:val="20"/>
                <w:lang w:val="en-US"/>
              </w:rPr>
              <w:sym w:font="Wingdings 3" w:char="F072"/>
            </w:r>
            <w:r w:rsidRPr="00DD0BF5">
              <w:rPr>
                <w:sz w:val="18"/>
                <w:szCs w:val="20"/>
                <w:lang w:val="en-US"/>
              </w:rPr>
              <w:t>population</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color w:val="000000"/>
                <w:sz w:val="18"/>
                <w:szCs w:val="22"/>
              </w:rPr>
              <w:t>.089</w:t>
            </w:r>
          </w:p>
          <w:p w:rsidR="00B80E79" w:rsidRPr="00DD0BF5" w:rsidRDefault="00B80E79" w:rsidP="00B95B72">
            <w:pPr>
              <w:keepNext/>
              <w:contextualSpacing/>
              <w:jc w:val="both"/>
              <w:rPr>
                <w:color w:val="000000"/>
                <w:sz w:val="18"/>
                <w:szCs w:val="22"/>
              </w:rPr>
            </w:pPr>
            <w:r w:rsidRPr="00DD0BF5">
              <w:rPr>
                <w:color w:val="000000"/>
                <w:sz w:val="18"/>
                <w:szCs w:val="22"/>
              </w:rPr>
              <w:t>(.007)</w:t>
            </w:r>
          </w:p>
        </w:tc>
        <w:tc>
          <w:tcPr>
            <w:tcW w:w="255" w:type="pct"/>
            <w:gridSpan w:val="2"/>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578" w:type="pct"/>
            <w:gridSpan w:val="2"/>
            <w:tcBorders>
              <w:right w:val="nil"/>
            </w:tcBorders>
            <w:vAlign w:val="center"/>
          </w:tcPr>
          <w:p w:rsidR="00B80E79" w:rsidRPr="00DD0BF5" w:rsidRDefault="00B80E79" w:rsidP="00B95B72">
            <w:pPr>
              <w:keepNext/>
              <w:contextualSpacing/>
              <w:jc w:val="both"/>
              <w:rPr>
                <w:color w:val="000000"/>
                <w:sz w:val="18"/>
                <w:szCs w:val="22"/>
              </w:rPr>
            </w:pPr>
            <w:r w:rsidRPr="00DD0BF5">
              <w:rPr>
                <w:color w:val="000000"/>
                <w:sz w:val="18"/>
                <w:szCs w:val="22"/>
              </w:rPr>
              <w:t>.007</w:t>
            </w:r>
          </w:p>
          <w:p w:rsidR="00B80E79" w:rsidRPr="00DD0BF5" w:rsidRDefault="00B80E79" w:rsidP="00B95B72">
            <w:pPr>
              <w:keepNext/>
              <w:contextualSpacing/>
              <w:jc w:val="both"/>
              <w:rPr>
                <w:color w:val="000000"/>
                <w:sz w:val="18"/>
                <w:szCs w:val="22"/>
              </w:rPr>
            </w:pPr>
            <w:r w:rsidRPr="00DD0BF5">
              <w:rPr>
                <w:color w:val="000000"/>
                <w:sz w:val="18"/>
                <w:szCs w:val="22"/>
              </w:rPr>
              <w:t>(.002)</w:t>
            </w:r>
          </w:p>
        </w:tc>
        <w:tc>
          <w:tcPr>
            <w:tcW w:w="386"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97"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.032</w:t>
            </w:r>
          </w:p>
          <w:p w:rsidR="00B80E79" w:rsidRPr="00DD0BF5" w:rsidRDefault="00B80E79" w:rsidP="00B95B72">
            <w:pPr>
              <w:keepNext/>
              <w:contextualSpacing/>
              <w:jc w:val="both"/>
              <w:rPr>
                <w:color w:val="000000"/>
                <w:sz w:val="18"/>
                <w:szCs w:val="22"/>
              </w:rPr>
            </w:pPr>
            <w:r>
              <w:rPr>
                <w:color w:val="000000"/>
                <w:sz w:val="18"/>
                <w:szCs w:val="22"/>
              </w:rPr>
              <w:t>(.002)</w:t>
            </w:r>
          </w:p>
        </w:tc>
        <w:tc>
          <w:tcPr>
            <w:tcW w:w="260"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14"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.032</w:t>
            </w:r>
          </w:p>
          <w:p w:rsidR="00B80E79" w:rsidRPr="00DD0BF5" w:rsidRDefault="00B80E79" w:rsidP="00B95B72">
            <w:pPr>
              <w:keepNext/>
              <w:contextualSpacing/>
              <w:jc w:val="both"/>
              <w:rPr>
                <w:color w:val="000000"/>
                <w:sz w:val="18"/>
                <w:szCs w:val="22"/>
              </w:rPr>
            </w:pPr>
            <w:r>
              <w:rPr>
                <w:color w:val="000000"/>
                <w:sz w:val="18"/>
                <w:szCs w:val="22"/>
              </w:rPr>
              <w:t>(.006)</w:t>
            </w:r>
          </w:p>
        </w:tc>
        <w:tc>
          <w:tcPr>
            <w:tcW w:w="259"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sz w:val="18"/>
                <w:szCs w:val="20"/>
                <w:lang w:val="en-US"/>
              </w:rPr>
              <w:t>Mortgage rate</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color w:val="000000"/>
                <w:sz w:val="18"/>
                <w:szCs w:val="22"/>
              </w:rPr>
            </w:pPr>
            <w:r w:rsidRPr="00DD0BF5">
              <w:rPr>
                <w:color w:val="000000"/>
                <w:sz w:val="18"/>
                <w:szCs w:val="22"/>
              </w:rPr>
              <w:t>-.066</w:t>
            </w:r>
          </w:p>
          <w:p w:rsidR="00B80E79" w:rsidRPr="00DD0BF5" w:rsidRDefault="00B80E79" w:rsidP="00B95B72">
            <w:pPr>
              <w:keepNext/>
              <w:contextualSpacing/>
              <w:jc w:val="both"/>
              <w:rPr>
                <w:color w:val="000000"/>
                <w:sz w:val="18"/>
                <w:szCs w:val="22"/>
              </w:rPr>
            </w:pPr>
            <w:r w:rsidRPr="00DD0BF5">
              <w:rPr>
                <w:sz w:val="18"/>
                <w:szCs w:val="22"/>
              </w:rPr>
              <w:t>(.005)</w:t>
            </w:r>
          </w:p>
        </w:tc>
        <w:tc>
          <w:tcPr>
            <w:tcW w:w="255" w:type="pct"/>
            <w:gridSpan w:val="2"/>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578" w:type="pct"/>
            <w:gridSpan w:val="2"/>
            <w:tcBorders>
              <w:right w:val="nil"/>
            </w:tcBorders>
            <w:vAlign w:val="center"/>
          </w:tcPr>
          <w:p w:rsidR="00B80E79" w:rsidRPr="00DD0BF5" w:rsidRDefault="00B80E79" w:rsidP="00B95B72">
            <w:pPr>
              <w:keepNext/>
              <w:contextualSpacing/>
              <w:jc w:val="both"/>
              <w:rPr>
                <w:color w:val="000000"/>
                <w:sz w:val="18"/>
                <w:szCs w:val="22"/>
              </w:rPr>
            </w:pPr>
            <w:r w:rsidRPr="00DD0BF5">
              <w:rPr>
                <w:color w:val="000000"/>
                <w:sz w:val="18"/>
                <w:szCs w:val="22"/>
              </w:rPr>
              <w:t>-.012</w:t>
            </w:r>
          </w:p>
          <w:p w:rsidR="00B80E79" w:rsidRPr="00DD0BF5" w:rsidRDefault="00B80E79" w:rsidP="00B95B72">
            <w:pPr>
              <w:keepNext/>
              <w:contextualSpacing/>
              <w:jc w:val="both"/>
              <w:rPr>
                <w:color w:val="000000"/>
                <w:sz w:val="18"/>
                <w:szCs w:val="22"/>
              </w:rPr>
            </w:pPr>
            <w:r w:rsidRPr="00DD0BF5">
              <w:rPr>
                <w:color w:val="000000"/>
                <w:sz w:val="18"/>
                <w:szCs w:val="22"/>
              </w:rPr>
              <w:t>(.001)</w:t>
            </w:r>
          </w:p>
        </w:tc>
        <w:tc>
          <w:tcPr>
            <w:tcW w:w="386"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97"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-.019</w:t>
            </w:r>
          </w:p>
          <w:p w:rsidR="00B80E79" w:rsidRPr="00DD0BF5" w:rsidRDefault="00B80E79" w:rsidP="00B95B72">
            <w:pPr>
              <w:keepNext/>
              <w:contextualSpacing/>
              <w:jc w:val="both"/>
              <w:rPr>
                <w:color w:val="000000"/>
                <w:sz w:val="18"/>
                <w:szCs w:val="22"/>
              </w:rPr>
            </w:pPr>
            <w:r>
              <w:rPr>
                <w:color w:val="000000"/>
                <w:sz w:val="18"/>
                <w:szCs w:val="22"/>
              </w:rPr>
              <w:t>(.001)</w:t>
            </w:r>
          </w:p>
        </w:tc>
        <w:tc>
          <w:tcPr>
            <w:tcW w:w="260"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c>
          <w:tcPr>
            <w:tcW w:w="614" w:type="pct"/>
            <w:tcBorders>
              <w:right w:val="nil"/>
            </w:tcBorders>
            <w:vAlign w:val="center"/>
          </w:tcPr>
          <w:p w:rsidR="00B80E79" w:rsidRDefault="00B80E79" w:rsidP="00B95B72">
            <w:pPr>
              <w:keepNext/>
              <w:contextualSpacing/>
              <w:jc w:val="both"/>
              <w:rPr>
                <w:color w:val="000000"/>
                <w:sz w:val="18"/>
                <w:szCs w:val="22"/>
              </w:rPr>
            </w:pPr>
            <w:r w:rsidRPr="00DD0BF5">
              <w:rPr>
                <w:color w:val="000000"/>
                <w:sz w:val="18"/>
                <w:szCs w:val="22"/>
              </w:rPr>
              <w:t>-.019</w:t>
            </w:r>
          </w:p>
          <w:p w:rsidR="00B80E79" w:rsidRPr="00DD0BF5" w:rsidRDefault="00B80E79" w:rsidP="00B95B72">
            <w:pPr>
              <w:keepNext/>
              <w:contextualSpacing/>
              <w:jc w:val="both"/>
              <w:rPr>
                <w:color w:val="000000"/>
                <w:sz w:val="18"/>
                <w:szCs w:val="22"/>
              </w:rPr>
            </w:pPr>
            <w:r>
              <w:rPr>
                <w:color w:val="000000"/>
                <w:sz w:val="18"/>
                <w:szCs w:val="22"/>
              </w:rPr>
              <w:t>(.001)</w:t>
            </w:r>
          </w:p>
        </w:tc>
        <w:tc>
          <w:tcPr>
            <w:tcW w:w="259" w:type="pct"/>
            <w:tcBorders>
              <w:left w:val="nil"/>
            </w:tcBorders>
            <w:vAlign w:val="bottom"/>
          </w:tcPr>
          <w:p w:rsidR="00B80E79" w:rsidRPr="00DD0BF5" w:rsidRDefault="00B80E79" w:rsidP="00B95B72">
            <w:pPr>
              <w:keepNext/>
              <w:contextualSpacing/>
              <w:jc w:val="both"/>
              <w:rPr>
                <w:color w:val="000000"/>
                <w:sz w:val="18"/>
                <w:szCs w:val="22"/>
              </w:rPr>
            </w:pPr>
            <w:r w:rsidRPr="00DD0BF5">
              <w:rPr>
                <w:color w:val="000000"/>
                <w:sz w:val="18"/>
                <w:szCs w:val="22"/>
              </w:rPr>
              <w:t>***</w:t>
            </w: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proofErr w:type="spellStart"/>
            <w:r w:rsidRPr="00DD0BF5">
              <w:rPr>
                <w:sz w:val="18"/>
                <w:szCs w:val="22"/>
              </w:rPr>
              <w:t>Constant</w:t>
            </w:r>
            <w:proofErr w:type="spellEnd"/>
          </w:p>
        </w:tc>
        <w:tc>
          <w:tcPr>
            <w:tcW w:w="469" w:type="pct"/>
            <w:tcBorders>
              <w:right w:val="nil"/>
            </w:tcBorders>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4.745</w:t>
            </w:r>
          </w:p>
          <w:p w:rsidR="00B80E79" w:rsidRPr="00DD0BF5" w:rsidRDefault="00B80E79" w:rsidP="00B95B72">
            <w:pPr>
              <w:keepNext/>
              <w:contextualSpacing/>
              <w:jc w:val="both"/>
              <w:rPr>
                <w:sz w:val="18"/>
                <w:szCs w:val="22"/>
              </w:rPr>
            </w:pPr>
            <w:r w:rsidRPr="00DD0BF5">
              <w:rPr>
                <w:sz w:val="18"/>
                <w:szCs w:val="22"/>
              </w:rPr>
              <w:t>(.175)</w:t>
            </w:r>
          </w:p>
        </w:tc>
        <w:tc>
          <w:tcPr>
            <w:tcW w:w="255" w:type="pct"/>
            <w:gridSpan w:val="2"/>
            <w:tcBorders>
              <w:left w:val="nil"/>
            </w:tcBorders>
            <w:vAlign w:val="center"/>
          </w:tcPr>
          <w:p w:rsidR="00B80E79" w:rsidRPr="00DD0BF5" w:rsidRDefault="00B80E79" w:rsidP="00B95B72">
            <w:pPr>
              <w:keepNext/>
              <w:contextualSpacing/>
              <w:jc w:val="both"/>
              <w:rPr>
                <w:sz w:val="18"/>
                <w:szCs w:val="22"/>
              </w:rPr>
            </w:pPr>
          </w:p>
        </w:tc>
        <w:tc>
          <w:tcPr>
            <w:tcW w:w="578" w:type="pct"/>
            <w:gridSpan w:val="2"/>
            <w:tcBorders>
              <w:right w:val="nil"/>
            </w:tcBorders>
            <w:vAlign w:val="center"/>
          </w:tcPr>
          <w:p w:rsidR="00B80E79" w:rsidRPr="00DD0BF5" w:rsidRDefault="00B80E79" w:rsidP="00B95B72">
            <w:pPr>
              <w:keepNext/>
              <w:contextualSpacing/>
              <w:jc w:val="both"/>
              <w:rPr>
                <w:sz w:val="18"/>
                <w:szCs w:val="22"/>
              </w:rPr>
            </w:pPr>
            <w:r w:rsidRPr="00DD0BF5">
              <w:rPr>
                <w:sz w:val="18"/>
                <w:szCs w:val="22"/>
              </w:rPr>
              <w:t>.430</w:t>
            </w:r>
          </w:p>
          <w:p w:rsidR="00B80E79" w:rsidRPr="00DD0BF5" w:rsidRDefault="00B80E79" w:rsidP="00B95B72">
            <w:pPr>
              <w:keepNext/>
              <w:contextualSpacing/>
              <w:jc w:val="both"/>
              <w:rPr>
                <w:sz w:val="18"/>
                <w:szCs w:val="22"/>
              </w:rPr>
            </w:pPr>
            <w:r w:rsidRPr="00DD0BF5">
              <w:rPr>
                <w:sz w:val="18"/>
                <w:szCs w:val="22"/>
              </w:rPr>
              <w:t>(.057)</w:t>
            </w:r>
          </w:p>
        </w:tc>
        <w:tc>
          <w:tcPr>
            <w:tcW w:w="386" w:type="pct"/>
            <w:tcBorders>
              <w:left w:val="nil"/>
            </w:tcBorders>
            <w:vAlign w:val="bottom"/>
          </w:tcPr>
          <w:p w:rsidR="00B80E79" w:rsidRPr="00DD0BF5" w:rsidRDefault="00B80E79" w:rsidP="00B95B72">
            <w:pPr>
              <w:keepNext/>
              <w:contextualSpacing/>
              <w:jc w:val="both"/>
              <w:rPr>
                <w:sz w:val="18"/>
                <w:szCs w:val="22"/>
              </w:rPr>
            </w:pPr>
            <w:r w:rsidRPr="00DD0BF5">
              <w:rPr>
                <w:sz w:val="18"/>
                <w:szCs w:val="22"/>
              </w:rPr>
              <w:t>***</w:t>
            </w:r>
          </w:p>
        </w:tc>
        <w:tc>
          <w:tcPr>
            <w:tcW w:w="697" w:type="pct"/>
            <w:tcBorders>
              <w:right w:val="nil"/>
            </w:tcBorders>
            <w:vAlign w:val="center"/>
          </w:tcPr>
          <w:p w:rsidR="00B80E79" w:rsidRDefault="00B80E79" w:rsidP="00B95B72">
            <w:pPr>
              <w:keepNext/>
              <w:contextualSpacing/>
              <w:jc w:val="both"/>
              <w:rPr>
                <w:sz w:val="18"/>
                <w:szCs w:val="22"/>
              </w:rPr>
            </w:pPr>
            <w:r w:rsidRPr="00DD0BF5">
              <w:rPr>
                <w:sz w:val="18"/>
                <w:szCs w:val="22"/>
              </w:rPr>
              <w:t>1.888</w:t>
            </w:r>
          </w:p>
          <w:p w:rsidR="00B80E79" w:rsidRPr="00DD0BF5" w:rsidRDefault="00B80E79" w:rsidP="00B95B72">
            <w:pPr>
              <w:keepNext/>
              <w:contextualSpacing/>
              <w:jc w:val="both"/>
              <w:rPr>
                <w:sz w:val="18"/>
                <w:szCs w:val="22"/>
              </w:rPr>
            </w:pPr>
            <w:r>
              <w:rPr>
                <w:sz w:val="18"/>
                <w:szCs w:val="22"/>
              </w:rPr>
              <w:t>(.597)</w:t>
            </w:r>
          </w:p>
        </w:tc>
        <w:tc>
          <w:tcPr>
            <w:tcW w:w="260" w:type="pct"/>
            <w:tcBorders>
              <w:left w:val="nil"/>
            </w:tcBorders>
            <w:vAlign w:val="bottom"/>
          </w:tcPr>
          <w:p w:rsidR="00B80E79" w:rsidRPr="00DD0BF5" w:rsidRDefault="00B80E79" w:rsidP="00B95B72">
            <w:pPr>
              <w:keepNext/>
              <w:contextualSpacing/>
              <w:jc w:val="both"/>
              <w:rPr>
                <w:sz w:val="18"/>
                <w:szCs w:val="22"/>
              </w:rPr>
            </w:pPr>
            <w:r w:rsidRPr="00DD0BF5">
              <w:rPr>
                <w:sz w:val="18"/>
                <w:szCs w:val="22"/>
              </w:rPr>
              <w:t>***</w:t>
            </w:r>
          </w:p>
        </w:tc>
        <w:tc>
          <w:tcPr>
            <w:tcW w:w="614" w:type="pct"/>
            <w:tcBorders>
              <w:right w:val="nil"/>
            </w:tcBorders>
            <w:vAlign w:val="center"/>
          </w:tcPr>
          <w:p w:rsidR="00B80E79" w:rsidRPr="00DD0BF5" w:rsidRDefault="00B80E79" w:rsidP="00B95B72">
            <w:pPr>
              <w:keepNext/>
              <w:contextualSpacing/>
              <w:jc w:val="both"/>
              <w:rPr>
                <w:sz w:val="18"/>
                <w:szCs w:val="22"/>
              </w:rPr>
            </w:pPr>
          </w:p>
        </w:tc>
        <w:tc>
          <w:tcPr>
            <w:tcW w:w="259" w:type="pct"/>
            <w:tcBorders>
              <w:left w:val="nil"/>
            </w:tcBorders>
            <w:vAlign w:val="bottom"/>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sz w:val="18"/>
                <w:szCs w:val="22"/>
              </w:rPr>
            </w:pPr>
          </w:p>
        </w:tc>
        <w:tc>
          <w:tcPr>
            <w:tcW w:w="255" w:type="pct"/>
            <w:gridSpan w:val="2"/>
            <w:tcBorders>
              <w:left w:val="nil"/>
            </w:tcBorders>
            <w:vAlign w:val="center"/>
          </w:tcPr>
          <w:p w:rsidR="00B80E79" w:rsidRPr="00DD0BF5" w:rsidRDefault="00B80E79" w:rsidP="00B95B72">
            <w:pPr>
              <w:keepNext/>
              <w:contextualSpacing/>
              <w:jc w:val="both"/>
              <w:rPr>
                <w:sz w:val="18"/>
                <w:szCs w:val="22"/>
              </w:rPr>
            </w:pPr>
          </w:p>
        </w:tc>
        <w:tc>
          <w:tcPr>
            <w:tcW w:w="578" w:type="pct"/>
            <w:gridSpan w:val="2"/>
            <w:tcBorders>
              <w:right w:val="nil"/>
            </w:tcBorders>
            <w:vAlign w:val="center"/>
          </w:tcPr>
          <w:p w:rsidR="00B80E79" w:rsidRPr="00DD0BF5" w:rsidRDefault="00B80E79" w:rsidP="00B95B72">
            <w:pPr>
              <w:keepNext/>
              <w:contextualSpacing/>
              <w:jc w:val="both"/>
              <w:rPr>
                <w:sz w:val="18"/>
                <w:szCs w:val="22"/>
              </w:rPr>
            </w:pP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p>
        </w:tc>
        <w:tc>
          <w:tcPr>
            <w:tcW w:w="259" w:type="pct"/>
            <w:tcBorders>
              <w:left w:val="nil"/>
            </w:tcBorders>
            <w:vAlign w:val="center"/>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N</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750</w:t>
            </w:r>
          </w:p>
        </w:tc>
        <w:tc>
          <w:tcPr>
            <w:tcW w:w="255" w:type="pct"/>
            <w:gridSpan w:val="2"/>
            <w:tcBorders>
              <w:left w:val="nil"/>
            </w:tcBorders>
            <w:vAlign w:val="center"/>
          </w:tcPr>
          <w:p w:rsidR="00B80E79" w:rsidRPr="00DD0BF5" w:rsidRDefault="00B80E79" w:rsidP="00B95B72">
            <w:pPr>
              <w:keepNext/>
              <w:contextualSpacing/>
              <w:jc w:val="both"/>
              <w:rPr>
                <w:sz w:val="18"/>
                <w:szCs w:val="22"/>
              </w:rPr>
            </w:pPr>
          </w:p>
        </w:tc>
        <w:tc>
          <w:tcPr>
            <w:tcW w:w="578" w:type="pct"/>
            <w:gridSpan w:val="2"/>
            <w:tcBorders>
              <w:right w:val="nil"/>
            </w:tcBorders>
            <w:vAlign w:val="center"/>
          </w:tcPr>
          <w:p w:rsidR="00B80E79" w:rsidRPr="00DD0BF5" w:rsidRDefault="00B80E79" w:rsidP="00B95B72">
            <w:pPr>
              <w:keepNext/>
              <w:contextualSpacing/>
              <w:jc w:val="both"/>
              <w:rPr>
                <w:sz w:val="18"/>
                <w:szCs w:val="22"/>
              </w:rPr>
            </w:pPr>
            <w:r w:rsidRPr="00DD0BF5">
              <w:rPr>
                <w:sz w:val="18"/>
                <w:szCs w:val="22"/>
              </w:rPr>
              <w:t>750</w:t>
            </w: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750</w:t>
            </w: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700</w:t>
            </w:r>
          </w:p>
        </w:tc>
        <w:tc>
          <w:tcPr>
            <w:tcW w:w="259" w:type="pct"/>
            <w:tcBorders>
              <w:left w:val="nil"/>
            </w:tcBorders>
            <w:vAlign w:val="center"/>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proofErr w:type="spellStart"/>
            <w:r w:rsidRPr="00DD0BF5">
              <w:rPr>
                <w:sz w:val="18"/>
                <w:szCs w:val="22"/>
              </w:rPr>
              <w:t>aic</w:t>
            </w:r>
            <w:proofErr w:type="spellEnd"/>
          </w:p>
        </w:tc>
        <w:tc>
          <w:tcPr>
            <w:tcW w:w="469" w:type="pct"/>
            <w:tcBorders>
              <w:right w:val="nil"/>
            </w:tcBorders>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145.317</w:t>
            </w:r>
          </w:p>
        </w:tc>
        <w:tc>
          <w:tcPr>
            <w:tcW w:w="255" w:type="pct"/>
            <w:gridSpan w:val="2"/>
            <w:tcBorders>
              <w:left w:val="nil"/>
            </w:tcBorders>
            <w:vAlign w:val="center"/>
          </w:tcPr>
          <w:p w:rsidR="00B80E79" w:rsidRPr="00DD0BF5" w:rsidRDefault="00B80E79" w:rsidP="00B95B72">
            <w:pPr>
              <w:keepNext/>
              <w:contextualSpacing/>
              <w:jc w:val="both"/>
              <w:rPr>
                <w:sz w:val="18"/>
                <w:szCs w:val="22"/>
              </w:rPr>
            </w:pPr>
          </w:p>
        </w:tc>
        <w:tc>
          <w:tcPr>
            <w:tcW w:w="578" w:type="pct"/>
            <w:gridSpan w:val="2"/>
            <w:tcBorders>
              <w:right w:val="nil"/>
            </w:tcBorders>
            <w:vAlign w:val="center"/>
          </w:tcPr>
          <w:p w:rsidR="00B80E79" w:rsidRPr="00DD0BF5" w:rsidRDefault="00B80E79" w:rsidP="00B95B72">
            <w:pPr>
              <w:keepNext/>
              <w:contextualSpacing/>
              <w:jc w:val="both"/>
              <w:rPr>
                <w:sz w:val="18"/>
                <w:szCs w:val="22"/>
              </w:rPr>
            </w:pPr>
            <w:r w:rsidRPr="00DD0BF5">
              <w:rPr>
                <w:sz w:val="18"/>
                <w:szCs w:val="22"/>
              </w:rPr>
              <w:t>-2098.168</w:t>
            </w: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-2377.530</w:t>
            </w: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w:t>
            </w:r>
          </w:p>
        </w:tc>
        <w:tc>
          <w:tcPr>
            <w:tcW w:w="259" w:type="pct"/>
            <w:tcBorders>
              <w:left w:val="nil"/>
            </w:tcBorders>
            <w:vAlign w:val="center"/>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proofErr w:type="spellStart"/>
            <w:r w:rsidRPr="00DD0BF5">
              <w:rPr>
                <w:sz w:val="18"/>
                <w:szCs w:val="22"/>
              </w:rPr>
              <w:t>bic</w:t>
            </w:r>
            <w:proofErr w:type="spellEnd"/>
          </w:p>
        </w:tc>
        <w:tc>
          <w:tcPr>
            <w:tcW w:w="469" w:type="pct"/>
            <w:tcBorders>
              <w:right w:val="nil"/>
            </w:tcBorders>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173.038</w:t>
            </w:r>
          </w:p>
        </w:tc>
        <w:tc>
          <w:tcPr>
            <w:tcW w:w="255" w:type="pct"/>
            <w:gridSpan w:val="2"/>
            <w:tcBorders>
              <w:left w:val="nil"/>
            </w:tcBorders>
            <w:vAlign w:val="center"/>
          </w:tcPr>
          <w:p w:rsidR="00B80E79" w:rsidRPr="00DD0BF5" w:rsidRDefault="00B80E79" w:rsidP="00B95B72">
            <w:pPr>
              <w:keepNext/>
              <w:contextualSpacing/>
              <w:jc w:val="both"/>
              <w:rPr>
                <w:sz w:val="18"/>
                <w:szCs w:val="22"/>
              </w:rPr>
            </w:pPr>
          </w:p>
        </w:tc>
        <w:tc>
          <w:tcPr>
            <w:tcW w:w="578" w:type="pct"/>
            <w:gridSpan w:val="2"/>
            <w:tcBorders>
              <w:right w:val="nil"/>
            </w:tcBorders>
            <w:vAlign w:val="center"/>
          </w:tcPr>
          <w:p w:rsidR="00B80E79" w:rsidRPr="00DD0BF5" w:rsidRDefault="00B80E79" w:rsidP="00B95B72">
            <w:pPr>
              <w:keepNext/>
              <w:contextualSpacing/>
              <w:jc w:val="both"/>
              <w:rPr>
                <w:sz w:val="18"/>
                <w:szCs w:val="22"/>
              </w:rPr>
            </w:pPr>
            <w:r w:rsidRPr="00DD0BF5">
              <w:rPr>
                <w:sz w:val="18"/>
                <w:szCs w:val="22"/>
              </w:rPr>
              <w:t>-2065.828</w:t>
            </w: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-2349.810</w:t>
            </w: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p>
        </w:tc>
        <w:tc>
          <w:tcPr>
            <w:tcW w:w="259" w:type="pct"/>
            <w:tcBorders>
              <w:left w:val="nil"/>
            </w:tcBorders>
            <w:vAlign w:val="center"/>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R</w:t>
            </w:r>
            <w:r w:rsidRPr="00DD0BF5">
              <w:rPr>
                <w:sz w:val="18"/>
                <w:szCs w:val="22"/>
                <w:vertAlign w:val="superscript"/>
              </w:rPr>
              <w:t>2</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.488</w:t>
            </w:r>
          </w:p>
        </w:tc>
        <w:tc>
          <w:tcPr>
            <w:tcW w:w="255" w:type="pct"/>
            <w:gridSpan w:val="2"/>
            <w:tcBorders>
              <w:left w:val="nil"/>
            </w:tcBorders>
            <w:vAlign w:val="center"/>
          </w:tcPr>
          <w:p w:rsidR="00B80E79" w:rsidRPr="00DD0BF5" w:rsidRDefault="00B80E79" w:rsidP="00B95B72">
            <w:pPr>
              <w:keepNext/>
              <w:contextualSpacing/>
              <w:jc w:val="both"/>
              <w:rPr>
                <w:sz w:val="18"/>
                <w:szCs w:val="22"/>
              </w:rPr>
            </w:pPr>
          </w:p>
        </w:tc>
        <w:tc>
          <w:tcPr>
            <w:tcW w:w="578" w:type="pct"/>
            <w:gridSpan w:val="2"/>
            <w:tcBorders>
              <w:right w:val="nil"/>
            </w:tcBorders>
            <w:vAlign w:val="center"/>
          </w:tcPr>
          <w:p w:rsidR="00B80E79" w:rsidRPr="00DD0BF5" w:rsidRDefault="00B80E79" w:rsidP="00B95B72">
            <w:pPr>
              <w:keepNext/>
              <w:contextualSpacing/>
              <w:jc w:val="both"/>
              <w:rPr>
                <w:sz w:val="18"/>
                <w:szCs w:val="22"/>
              </w:rPr>
            </w:pPr>
            <w:r w:rsidRPr="00DD0BF5">
              <w:rPr>
                <w:sz w:val="18"/>
                <w:szCs w:val="22"/>
              </w:rPr>
              <w:t>.974</w:t>
            </w: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.958</w:t>
            </w: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p>
        </w:tc>
        <w:tc>
          <w:tcPr>
            <w:tcW w:w="259" w:type="pct"/>
            <w:tcBorders>
              <w:left w:val="nil"/>
            </w:tcBorders>
            <w:vAlign w:val="center"/>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proofErr w:type="spellStart"/>
            <w:r w:rsidRPr="00DD0BF5">
              <w:rPr>
                <w:sz w:val="18"/>
                <w:szCs w:val="22"/>
              </w:rPr>
              <w:t>Hausman</w:t>
            </w:r>
            <w:proofErr w:type="spellEnd"/>
            <w:r w:rsidRPr="00DD0BF5">
              <w:rPr>
                <w:sz w:val="18"/>
                <w:szCs w:val="22"/>
              </w:rPr>
              <w:t xml:space="preserve"> test</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sz w:val="18"/>
                <w:szCs w:val="22"/>
              </w:rPr>
            </w:pPr>
          </w:p>
        </w:tc>
        <w:tc>
          <w:tcPr>
            <w:tcW w:w="255" w:type="pct"/>
            <w:gridSpan w:val="2"/>
            <w:tcBorders>
              <w:left w:val="nil"/>
            </w:tcBorders>
            <w:vAlign w:val="center"/>
          </w:tcPr>
          <w:p w:rsidR="00B80E79" w:rsidRPr="00DD0BF5" w:rsidRDefault="00B80E79" w:rsidP="00B95B72">
            <w:pPr>
              <w:keepNext/>
              <w:contextualSpacing/>
              <w:jc w:val="both"/>
              <w:rPr>
                <w:sz w:val="18"/>
                <w:szCs w:val="22"/>
              </w:rPr>
            </w:pPr>
          </w:p>
        </w:tc>
        <w:tc>
          <w:tcPr>
            <w:tcW w:w="578" w:type="pct"/>
            <w:gridSpan w:val="2"/>
            <w:tcBorders>
              <w:right w:val="nil"/>
            </w:tcBorders>
            <w:vAlign w:val="center"/>
          </w:tcPr>
          <w:p w:rsidR="00B80E79" w:rsidRPr="00DD0BF5" w:rsidRDefault="00B80E79" w:rsidP="00B95B72">
            <w:pPr>
              <w:keepNext/>
              <w:contextualSpacing/>
              <w:jc w:val="both"/>
              <w:rPr>
                <w:sz w:val="18"/>
                <w:szCs w:val="22"/>
              </w:rPr>
            </w:pP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378.45***</w:t>
            </w: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p>
        </w:tc>
        <w:tc>
          <w:tcPr>
            <w:tcW w:w="259" w:type="pct"/>
            <w:tcBorders>
              <w:left w:val="nil"/>
            </w:tcBorders>
            <w:vAlign w:val="center"/>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rho</w:t>
            </w:r>
          </w:p>
        </w:tc>
        <w:tc>
          <w:tcPr>
            <w:tcW w:w="469" w:type="pct"/>
            <w:tcBorders>
              <w:right w:val="nil"/>
            </w:tcBorders>
            <w:shd w:val="clear" w:color="auto" w:fill="auto"/>
            <w:noWrap/>
            <w:vAlign w:val="center"/>
            <w:hideMark/>
          </w:tcPr>
          <w:p w:rsidR="00B80E79" w:rsidRPr="00DD0BF5" w:rsidRDefault="00B80E79" w:rsidP="00B95B72">
            <w:pPr>
              <w:keepNext/>
              <w:contextualSpacing/>
              <w:jc w:val="both"/>
              <w:rPr>
                <w:sz w:val="18"/>
                <w:szCs w:val="22"/>
              </w:rPr>
            </w:pPr>
          </w:p>
        </w:tc>
        <w:tc>
          <w:tcPr>
            <w:tcW w:w="255" w:type="pct"/>
            <w:gridSpan w:val="2"/>
            <w:tcBorders>
              <w:left w:val="nil"/>
            </w:tcBorders>
            <w:vAlign w:val="center"/>
          </w:tcPr>
          <w:p w:rsidR="00B80E79" w:rsidRPr="00DD0BF5" w:rsidRDefault="00B80E79" w:rsidP="00B95B72">
            <w:pPr>
              <w:keepNext/>
              <w:contextualSpacing/>
              <w:jc w:val="both"/>
              <w:rPr>
                <w:sz w:val="18"/>
                <w:szCs w:val="22"/>
              </w:rPr>
            </w:pPr>
          </w:p>
        </w:tc>
        <w:tc>
          <w:tcPr>
            <w:tcW w:w="578" w:type="pct"/>
            <w:gridSpan w:val="2"/>
            <w:tcBorders>
              <w:right w:val="nil"/>
            </w:tcBorders>
            <w:vAlign w:val="center"/>
          </w:tcPr>
          <w:p w:rsidR="00B80E79" w:rsidRPr="00DD0BF5" w:rsidRDefault="00B80E79" w:rsidP="00B95B72">
            <w:pPr>
              <w:keepNext/>
              <w:contextualSpacing/>
              <w:jc w:val="both"/>
              <w:rPr>
                <w:sz w:val="18"/>
                <w:szCs w:val="22"/>
              </w:rPr>
            </w:pP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.638</w:t>
            </w: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p>
        </w:tc>
        <w:tc>
          <w:tcPr>
            <w:tcW w:w="259" w:type="pct"/>
            <w:tcBorders>
              <w:left w:val="nil"/>
            </w:tcBorders>
            <w:vAlign w:val="center"/>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proofErr w:type="spellStart"/>
            <w:r w:rsidRPr="00DD0BF5">
              <w:rPr>
                <w:sz w:val="18"/>
                <w:szCs w:val="22"/>
              </w:rPr>
              <w:t>Number</w:t>
            </w:r>
            <w:proofErr w:type="spellEnd"/>
            <w:r w:rsidRPr="00DD0BF5">
              <w:rPr>
                <w:sz w:val="18"/>
                <w:szCs w:val="22"/>
              </w:rPr>
              <w:t xml:space="preserve"> of </w:t>
            </w:r>
            <w:proofErr w:type="spellStart"/>
            <w:r w:rsidRPr="00DD0BF5">
              <w:rPr>
                <w:sz w:val="18"/>
                <w:szCs w:val="22"/>
              </w:rPr>
              <w:t>collapsed</w:t>
            </w:r>
            <w:proofErr w:type="spellEnd"/>
            <w:r w:rsidRPr="00DD0BF5">
              <w:rPr>
                <w:sz w:val="18"/>
                <w:szCs w:val="22"/>
              </w:rPr>
              <w:t xml:space="preserve"> </w:t>
            </w:r>
            <w:proofErr w:type="spellStart"/>
            <w:r w:rsidRPr="00DD0BF5">
              <w:rPr>
                <w:sz w:val="18"/>
                <w:szCs w:val="22"/>
              </w:rPr>
              <w:t>IVs</w:t>
            </w:r>
            <w:proofErr w:type="spellEnd"/>
          </w:p>
        </w:tc>
        <w:tc>
          <w:tcPr>
            <w:tcW w:w="658" w:type="pct"/>
            <w:gridSpan w:val="2"/>
            <w:tcBorders>
              <w:right w:val="nil"/>
            </w:tcBorders>
            <w:shd w:val="clear" w:color="auto" w:fill="auto"/>
            <w:noWrap/>
            <w:vAlign w:val="center"/>
            <w:hideMark/>
          </w:tcPr>
          <w:p w:rsidR="00B80E79" w:rsidRPr="00DD0BF5" w:rsidRDefault="00B80E79" w:rsidP="00B95B72">
            <w:pPr>
              <w:keepNext/>
              <w:contextualSpacing/>
              <w:jc w:val="both"/>
              <w:rPr>
                <w:sz w:val="18"/>
                <w:szCs w:val="22"/>
              </w:rPr>
            </w:pPr>
          </w:p>
        </w:tc>
        <w:tc>
          <w:tcPr>
            <w:tcW w:w="87" w:type="pct"/>
            <w:gridSpan w:val="2"/>
            <w:tcBorders>
              <w:left w:val="nil"/>
            </w:tcBorders>
            <w:vAlign w:val="center"/>
          </w:tcPr>
          <w:p w:rsidR="00B80E79" w:rsidRPr="00DD0BF5" w:rsidRDefault="00B80E79" w:rsidP="00B95B72">
            <w:pPr>
              <w:keepNext/>
              <w:contextualSpacing/>
              <w:jc w:val="both"/>
              <w:rPr>
                <w:sz w:val="18"/>
                <w:szCs w:val="22"/>
              </w:rPr>
            </w:pPr>
          </w:p>
        </w:tc>
        <w:tc>
          <w:tcPr>
            <w:tcW w:w="557" w:type="pct"/>
            <w:tcBorders>
              <w:right w:val="nil"/>
            </w:tcBorders>
            <w:vAlign w:val="center"/>
          </w:tcPr>
          <w:p w:rsidR="00B80E79" w:rsidRPr="00DD0BF5" w:rsidRDefault="00B80E79" w:rsidP="00B95B72">
            <w:pPr>
              <w:keepNext/>
              <w:contextualSpacing/>
              <w:jc w:val="both"/>
              <w:rPr>
                <w:sz w:val="18"/>
                <w:szCs w:val="22"/>
              </w:rPr>
            </w:pP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47</w:t>
            </w:r>
          </w:p>
        </w:tc>
        <w:tc>
          <w:tcPr>
            <w:tcW w:w="259" w:type="pct"/>
            <w:tcBorders>
              <w:left w:val="nil"/>
            </w:tcBorders>
            <w:vAlign w:val="center"/>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 xml:space="preserve">2nd </w:t>
            </w:r>
            <w:proofErr w:type="spellStart"/>
            <w:r w:rsidRPr="00DD0BF5">
              <w:rPr>
                <w:sz w:val="18"/>
                <w:szCs w:val="22"/>
              </w:rPr>
              <w:t>order</w:t>
            </w:r>
            <w:proofErr w:type="spellEnd"/>
            <w:r w:rsidRPr="00DD0BF5">
              <w:rPr>
                <w:sz w:val="18"/>
                <w:szCs w:val="22"/>
              </w:rPr>
              <w:t xml:space="preserve"> </w:t>
            </w:r>
            <w:proofErr w:type="spellStart"/>
            <w:r w:rsidRPr="00DD0BF5">
              <w:rPr>
                <w:sz w:val="18"/>
                <w:szCs w:val="22"/>
              </w:rPr>
              <w:t>autocorrelation</w:t>
            </w:r>
            <w:proofErr w:type="spellEnd"/>
          </w:p>
        </w:tc>
        <w:tc>
          <w:tcPr>
            <w:tcW w:w="658" w:type="pct"/>
            <w:gridSpan w:val="2"/>
            <w:tcBorders>
              <w:right w:val="nil"/>
            </w:tcBorders>
            <w:shd w:val="clear" w:color="auto" w:fill="auto"/>
            <w:noWrap/>
            <w:vAlign w:val="center"/>
            <w:hideMark/>
          </w:tcPr>
          <w:p w:rsidR="00B80E79" w:rsidRPr="00DD0BF5" w:rsidRDefault="00B80E79" w:rsidP="00B95B72">
            <w:pPr>
              <w:keepNext/>
              <w:contextualSpacing/>
              <w:jc w:val="both"/>
              <w:rPr>
                <w:sz w:val="18"/>
                <w:szCs w:val="22"/>
              </w:rPr>
            </w:pPr>
          </w:p>
        </w:tc>
        <w:tc>
          <w:tcPr>
            <w:tcW w:w="87" w:type="pct"/>
            <w:gridSpan w:val="2"/>
            <w:tcBorders>
              <w:left w:val="nil"/>
            </w:tcBorders>
            <w:vAlign w:val="center"/>
          </w:tcPr>
          <w:p w:rsidR="00B80E79" w:rsidRPr="00DD0BF5" w:rsidRDefault="00B80E79" w:rsidP="00B95B72">
            <w:pPr>
              <w:keepNext/>
              <w:contextualSpacing/>
              <w:jc w:val="both"/>
              <w:rPr>
                <w:sz w:val="18"/>
                <w:szCs w:val="22"/>
              </w:rPr>
            </w:pPr>
          </w:p>
        </w:tc>
        <w:tc>
          <w:tcPr>
            <w:tcW w:w="557" w:type="pct"/>
            <w:tcBorders>
              <w:right w:val="nil"/>
            </w:tcBorders>
            <w:vAlign w:val="center"/>
          </w:tcPr>
          <w:p w:rsidR="00B80E79" w:rsidRPr="00DD0BF5" w:rsidRDefault="00B80E79" w:rsidP="00B95B72">
            <w:pPr>
              <w:keepNext/>
              <w:contextualSpacing/>
              <w:jc w:val="both"/>
              <w:rPr>
                <w:sz w:val="18"/>
                <w:szCs w:val="22"/>
              </w:rPr>
            </w:pP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.295</w:t>
            </w:r>
          </w:p>
        </w:tc>
        <w:tc>
          <w:tcPr>
            <w:tcW w:w="259" w:type="pct"/>
            <w:tcBorders>
              <w:left w:val="nil"/>
            </w:tcBorders>
            <w:vAlign w:val="center"/>
          </w:tcPr>
          <w:p w:rsidR="00B80E79" w:rsidRPr="00DD0BF5" w:rsidRDefault="00B80E79" w:rsidP="00B95B72">
            <w:pPr>
              <w:keepNext/>
              <w:contextualSpacing/>
              <w:jc w:val="both"/>
              <w:rPr>
                <w:sz w:val="18"/>
                <w:szCs w:val="22"/>
              </w:rPr>
            </w:pPr>
          </w:p>
        </w:tc>
      </w:tr>
      <w:tr w:rsidR="00B80E79" w:rsidRPr="00DD0BF5" w:rsidTr="00B95B72">
        <w:tc>
          <w:tcPr>
            <w:tcW w:w="1483" w:type="pct"/>
            <w:shd w:val="clear" w:color="auto" w:fill="auto"/>
            <w:noWrap/>
            <w:vAlign w:val="center"/>
            <w:hideMark/>
          </w:tcPr>
          <w:p w:rsidR="00B80E79" w:rsidRPr="00DD0BF5" w:rsidRDefault="00B80E79" w:rsidP="00B95B72">
            <w:pPr>
              <w:keepNext/>
              <w:contextualSpacing/>
              <w:jc w:val="both"/>
              <w:rPr>
                <w:sz w:val="18"/>
                <w:szCs w:val="22"/>
              </w:rPr>
            </w:pPr>
            <w:r w:rsidRPr="00DD0BF5">
              <w:rPr>
                <w:sz w:val="18"/>
                <w:szCs w:val="22"/>
              </w:rPr>
              <w:t xml:space="preserve">Hansen </w:t>
            </w:r>
            <w:proofErr w:type="spellStart"/>
            <w:r w:rsidRPr="00DD0BF5">
              <w:rPr>
                <w:sz w:val="18"/>
                <w:szCs w:val="22"/>
              </w:rPr>
              <w:t>difference</w:t>
            </w:r>
            <w:proofErr w:type="spellEnd"/>
            <w:r w:rsidRPr="00DD0BF5">
              <w:rPr>
                <w:sz w:val="18"/>
                <w:szCs w:val="22"/>
              </w:rPr>
              <w:t xml:space="preserve"> test</w:t>
            </w:r>
          </w:p>
        </w:tc>
        <w:tc>
          <w:tcPr>
            <w:tcW w:w="658" w:type="pct"/>
            <w:gridSpan w:val="2"/>
            <w:tcBorders>
              <w:right w:val="nil"/>
            </w:tcBorders>
            <w:shd w:val="clear" w:color="auto" w:fill="auto"/>
            <w:noWrap/>
            <w:vAlign w:val="center"/>
            <w:hideMark/>
          </w:tcPr>
          <w:p w:rsidR="00B80E79" w:rsidRPr="00DD0BF5" w:rsidRDefault="00B80E79" w:rsidP="00B95B72">
            <w:pPr>
              <w:keepNext/>
              <w:contextualSpacing/>
              <w:jc w:val="both"/>
              <w:rPr>
                <w:sz w:val="18"/>
                <w:szCs w:val="22"/>
              </w:rPr>
            </w:pPr>
          </w:p>
        </w:tc>
        <w:tc>
          <w:tcPr>
            <w:tcW w:w="87" w:type="pct"/>
            <w:gridSpan w:val="2"/>
            <w:tcBorders>
              <w:left w:val="nil"/>
            </w:tcBorders>
            <w:vAlign w:val="center"/>
          </w:tcPr>
          <w:p w:rsidR="00B80E79" w:rsidRPr="00DD0BF5" w:rsidRDefault="00B80E79" w:rsidP="00B95B72">
            <w:pPr>
              <w:keepNext/>
              <w:contextualSpacing/>
              <w:jc w:val="both"/>
              <w:rPr>
                <w:sz w:val="18"/>
                <w:szCs w:val="22"/>
              </w:rPr>
            </w:pPr>
          </w:p>
        </w:tc>
        <w:tc>
          <w:tcPr>
            <w:tcW w:w="557" w:type="pct"/>
            <w:tcBorders>
              <w:right w:val="nil"/>
            </w:tcBorders>
            <w:vAlign w:val="center"/>
          </w:tcPr>
          <w:p w:rsidR="00B80E79" w:rsidRPr="00DD0BF5" w:rsidRDefault="00B80E79" w:rsidP="00B95B72">
            <w:pPr>
              <w:keepNext/>
              <w:contextualSpacing/>
              <w:jc w:val="both"/>
              <w:rPr>
                <w:sz w:val="18"/>
                <w:szCs w:val="22"/>
              </w:rPr>
            </w:pPr>
          </w:p>
        </w:tc>
        <w:tc>
          <w:tcPr>
            <w:tcW w:w="386" w:type="pct"/>
            <w:tcBorders>
              <w:left w:val="nil"/>
            </w:tcBorders>
            <w:vAlign w:val="center"/>
          </w:tcPr>
          <w:p w:rsidR="00B80E79" w:rsidRPr="00DD0BF5" w:rsidRDefault="00B80E79" w:rsidP="00B95B72">
            <w:pPr>
              <w:keepNext/>
              <w:contextualSpacing/>
              <w:jc w:val="both"/>
              <w:rPr>
                <w:sz w:val="18"/>
                <w:szCs w:val="22"/>
              </w:rPr>
            </w:pPr>
          </w:p>
        </w:tc>
        <w:tc>
          <w:tcPr>
            <w:tcW w:w="697" w:type="pct"/>
            <w:tcBorders>
              <w:right w:val="nil"/>
            </w:tcBorders>
            <w:vAlign w:val="center"/>
          </w:tcPr>
          <w:p w:rsidR="00B80E79" w:rsidRPr="00DD0BF5" w:rsidRDefault="00B80E79" w:rsidP="00B95B72">
            <w:pPr>
              <w:keepNext/>
              <w:contextualSpacing/>
              <w:jc w:val="both"/>
              <w:rPr>
                <w:sz w:val="18"/>
                <w:szCs w:val="22"/>
              </w:rPr>
            </w:pPr>
          </w:p>
        </w:tc>
        <w:tc>
          <w:tcPr>
            <w:tcW w:w="260" w:type="pct"/>
            <w:tcBorders>
              <w:left w:val="nil"/>
            </w:tcBorders>
            <w:vAlign w:val="center"/>
          </w:tcPr>
          <w:p w:rsidR="00B80E79" w:rsidRPr="00DD0BF5" w:rsidRDefault="00B80E79" w:rsidP="00B95B72">
            <w:pPr>
              <w:keepNext/>
              <w:contextualSpacing/>
              <w:jc w:val="both"/>
              <w:rPr>
                <w:sz w:val="18"/>
                <w:szCs w:val="22"/>
              </w:rPr>
            </w:pPr>
          </w:p>
        </w:tc>
        <w:tc>
          <w:tcPr>
            <w:tcW w:w="614" w:type="pct"/>
            <w:tcBorders>
              <w:right w:val="nil"/>
            </w:tcBorders>
            <w:vAlign w:val="center"/>
          </w:tcPr>
          <w:p w:rsidR="00B80E79" w:rsidRPr="00DD0BF5" w:rsidRDefault="00B80E79" w:rsidP="00B95B72">
            <w:pPr>
              <w:keepNext/>
              <w:contextualSpacing/>
              <w:jc w:val="both"/>
              <w:rPr>
                <w:sz w:val="18"/>
                <w:szCs w:val="22"/>
              </w:rPr>
            </w:pPr>
            <w:r w:rsidRPr="00DD0BF5">
              <w:rPr>
                <w:sz w:val="18"/>
                <w:szCs w:val="22"/>
              </w:rPr>
              <w:t>.167</w:t>
            </w:r>
          </w:p>
        </w:tc>
        <w:tc>
          <w:tcPr>
            <w:tcW w:w="259" w:type="pct"/>
            <w:tcBorders>
              <w:left w:val="nil"/>
            </w:tcBorders>
            <w:vAlign w:val="center"/>
          </w:tcPr>
          <w:p w:rsidR="00B80E79" w:rsidRPr="00DD0BF5" w:rsidRDefault="00B80E79" w:rsidP="00B95B72">
            <w:pPr>
              <w:keepNext/>
              <w:contextualSpacing/>
              <w:jc w:val="both"/>
              <w:rPr>
                <w:sz w:val="18"/>
                <w:szCs w:val="22"/>
              </w:rPr>
            </w:pPr>
          </w:p>
        </w:tc>
      </w:tr>
    </w:tbl>
    <w:p w:rsidR="00B80E79" w:rsidRPr="007A5339" w:rsidRDefault="00B80E79" w:rsidP="00B80E79">
      <w:pPr>
        <w:keepNext/>
        <w:jc w:val="both"/>
        <w:rPr>
          <w:rFonts w:eastAsiaTheme="minorHAnsi"/>
          <w:color w:val="231F20"/>
          <w:sz w:val="18"/>
          <w:szCs w:val="22"/>
          <w:lang w:val="en-US" w:eastAsia="en-US"/>
        </w:rPr>
      </w:pPr>
      <w:r w:rsidRPr="007A5339">
        <w:rPr>
          <w:rFonts w:eastAsiaTheme="minorHAnsi"/>
          <w:color w:val="231F20"/>
          <w:sz w:val="18"/>
          <w:szCs w:val="22"/>
          <w:lang w:val="en-US" w:eastAsia="en-US"/>
        </w:rPr>
        <w:t>Province cluster robust standard errors in parenthesis</w:t>
      </w:r>
      <w:r>
        <w:rPr>
          <w:rFonts w:eastAsiaTheme="minorHAnsi"/>
          <w:color w:val="231F20"/>
          <w:sz w:val="18"/>
          <w:szCs w:val="22"/>
          <w:lang w:val="en-US" w:eastAsia="en-US"/>
        </w:rPr>
        <w:t xml:space="preserve"> in OLS and Fixed Effects models</w:t>
      </w:r>
    </w:p>
    <w:p w:rsidR="00B80E79" w:rsidRPr="00B80E79" w:rsidRDefault="00B80E79" w:rsidP="00B80E79">
      <w:pPr>
        <w:keepNext/>
        <w:jc w:val="both"/>
        <w:rPr>
          <w:color w:val="000000"/>
          <w:sz w:val="18"/>
          <w:szCs w:val="22"/>
          <w:lang w:val="en-US"/>
        </w:rPr>
      </w:pPr>
      <w:proofErr w:type="spellStart"/>
      <w:r w:rsidRPr="00B80E79">
        <w:rPr>
          <w:color w:val="000000"/>
          <w:sz w:val="18"/>
          <w:szCs w:val="22"/>
          <w:lang w:val="en-US"/>
        </w:rPr>
        <w:t>Windmeijer's</w:t>
      </w:r>
      <w:proofErr w:type="spellEnd"/>
      <w:r w:rsidRPr="00B80E79">
        <w:rPr>
          <w:color w:val="000000"/>
          <w:sz w:val="18"/>
          <w:szCs w:val="22"/>
          <w:lang w:val="en-US"/>
        </w:rPr>
        <w:t xml:space="preserve"> (2005) robust standard errors in parenthesis in the Difference-GMM estimation.</w:t>
      </w:r>
    </w:p>
    <w:p w:rsidR="00B80E79" w:rsidRDefault="00B80E79" w:rsidP="00B80E79">
      <w:pPr>
        <w:keepNext/>
        <w:jc w:val="both"/>
        <w:rPr>
          <w:rFonts w:eastAsiaTheme="minorHAnsi"/>
          <w:color w:val="231F20"/>
          <w:sz w:val="18"/>
          <w:szCs w:val="22"/>
          <w:lang w:val="en-US" w:eastAsia="en-US"/>
        </w:rPr>
      </w:pPr>
      <w:r w:rsidRPr="007A5339">
        <w:rPr>
          <w:rFonts w:eastAsiaTheme="minorHAnsi"/>
          <w:color w:val="231F20"/>
          <w:sz w:val="18"/>
          <w:szCs w:val="22"/>
          <w:lang w:val="en-US" w:eastAsia="en-US"/>
        </w:rPr>
        <w:t>***p&lt;0.01, **p&lt;0.05 and * p&lt;0.1</w:t>
      </w:r>
    </w:p>
    <w:p w:rsidR="00B80E79" w:rsidRPr="00B80E79" w:rsidRDefault="00B80E79" w:rsidP="00B80E79">
      <w:pPr>
        <w:autoSpaceDE w:val="0"/>
        <w:autoSpaceDN w:val="0"/>
        <w:adjustRightInd w:val="0"/>
        <w:spacing w:before="120" w:after="120" w:line="360" w:lineRule="auto"/>
        <w:contextualSpacing/>
        <w:jc w:val="both"/>
        <w:rPr>
          <w:rFonts w:eastAsiaTheme="minorHAnsi"/>
          <w:color w:val="231F20"/>
          <w:lang w:val="en-US" w:eastAsia="en-US"/>
        </w:rPr>
      </w:pPr>
    </w:p>
    <w:p w:rsidR="00B80E79" w:rsidRPr="00B80E79" w:rsidRDefault="00B80E79" w:rsidP="00B80E79">
      <w:pPr>
        <w:autoSpaceDE w:val="0"/>
        <w:autoSpaceDN w:val="0"/>
        <w:adjustRightInd w:val="0"/>
        <w:spacing w:before="120" w:after="120" w:line="360" w:lineRule="auto"/>
        <w:ind w:firstLine="708"/>
        <w:contextualSpacing/>
        <w:jc w:val="both"/>
        <w:rPr>
          <w:rFonts w:eastAsiaTheme="minorHAnsi"/>
          <w:color w:val="231F20"/>
          <w:lang w:val="en-US" w:eastAsia="en-US"/>
        </w:rPr>
      </w:pPr>
      <w:r w:rsidRPr="00B80E79">
        <w:rPr>
          <w:rFonts w:eastAsiaTheme="minorHAnsi"/>
          <w:color w:val="231F20"/>
          <w:lang w:val="en-US" w:eastAsia="en-US"/>
        </w:rPr>
        <w:t xml:space="preserve">The lagged dependent variable has a significant and large positive effect on the real housing market </w:t>
      </w:r>
      <w:proofErr w:type="gramStart"/>
      <w:r w:rsidRPr="00B80E79">
        <w:rPr>
          <w:rFonts w:eastAsiaTheme="minorHAnsi"/>
          <w:color w:val="231F20"/>
          <w:lang w:val="en-US" w:eastAsia="en-US"/>
        </w:rPr>
        <w:t>prices which</w:t>
      </w:r>
      <w:proofErr w:type="gramEnd"/>
      <w:r w:rsidRPr="00B80E79">
        <w:rPr>
          <w:rFonts w:eastAsiaTheme="minorHAnsi"/>
          <w:color w:val="231F20"/>
          <w:lang w:val="en-US" w:eastAsia="en-US"/>
        </w:rPr>
        <w:t xml:space="preserve"> indicates high persistence. This finding is similar in all estimations and as the economic theory predicts, in the GMM model the coefficient of this variable is in between the coefficient of the OLS with lagged dependent and the fixed effect models. This result supports the validity of the GMM model. </w:t>
      </w:r>
      <w:r w:rsidRPr="00B80E79">
        <w:rPr>
          <w:lang w:val="en-US"/>
        </w:rPr>
        <w:t xml:space="preserve">The rationale behind the relationship between real housing market prices and its lag is that the positive push on fundamentals can induce the rise of prices and expectations, and rising expectations can lead to increases in real housing prices. The housing prices falls would produce the opposite phenomenon. </w:t>
      </w:r>
    </w:p>
    <w:p w:rsidR="00B80E79" w:rsidRPr="00B80E79" w:rsidRDefault="00B80E79" w:rsidP="00B80E79">
      <w:pPr>
        <w:autoSpaceDE w:val="0"/>
        <w:autoSpaceDN w:val="0"/>
        <w:adjustRightInd w:val="0"/>
        <w:spacing w:before="120" w:after="120" w:line="360" w:lineRule="auto"/>
        <w:ind w:firstLine="708"/>
        <w:contextualSpacing/>
        <w:jc w:val="both"/>
        <w:rPr>
          <w:rFonts w:eastAsiaTheme="minorHAnsi"/>
          <w:color w:val="231F20"/>
          <w:lang w:val="en-US" w:eastAsia="en-US"/>
        </w:rPr>
      </w:pPr>
      <w:r w:rsidRPr="00B80E79">
        <w:rPr>
          <w:rFonts w:eastAsiaTheme="minorHAnsi"/>
          <w:color w:val="231F20"/>
          <w:lang w:val="en-US" w:eastAsia="en-US"/>
        </w:rPr>
        <w:t xml:space="preserve">The real disposable income is positive and statistically significant in the OLS with and without the lagged dependent variable models though non-significant in the Fixed Effect and Difference-GMM estimators. </w:t>
      </w:r>
    </w:p>
    <w:p w:rsidR="00B80E79" w:rsidRPr="00B80E79" w:rsidRDefault="00B80E79" w:rsidP="00B80E79">
      <w:pPr>
        <w:autoSpaceDE w:val="0"/>
        <w:autoSpaceDN w:val="0"/>
        <w:adjustRightInd w:val="0"/>
        <w:spacing w:before="120" w:after="120" w:line="360" w:lineRule="auto"/>
        <w:ind w:firstLine="708"/>
        <w:contextualSpacing/>
        <w:jc w:val="both"/>
        <w:rPr>
          <w:rFonts w:eastAsiaTheme="minorHAnsi"/>
          <w:color w:val="231F20"/>
          <w:lang w:val="en-US" w:eastAsia="en-US"/>
        </w:rPr>
      </w:pPr>
      <w:r w:rsidRPr="00B80E79">
        <w:rPr>
          <w:rFonts w:eastAsiaTheme="minorHAnsi"/>
          <w:color w:val="231F20"/>
          <w:lang w:val="en-US" w:eastAsia="en-US"/>
        </w:rPr>
        <w:lastRenderedPageBreak/>
        <w:t>The growth of the population presents a positive and significant coefficient in all estimations. Demographic growth due to natural population growth or/and migratory flows is a fundamental of the housing demand that positively affects real housing prices.</w:t>
      </w:r>
    </w:p>
    <w:p w:rsidR="00B80E79" w:rsidRPr="00B80E79" w:rsidRDefault="00B80E79" w:rsidP="00B80E79">
      <w:pPr>
        <w:autoSpaceDE w:val="0"/>
        <w:autoSpaceDN w:val="0"/>
        <w:adjustRightInd w:val="0"/>
        <w:spacing w:before="120" w:after="120" w:line="360" w:lineRule="auto"/>
        <w:ind w:firstLine="708"/>
        <w:contextualSpacing/>
        <w:jc w:val="both"/>
        <w:rPr>
          <w:rFonts w:eastAsiaTheme="minorHAnsi"/>
          <w:color w:val="231F20"/>
          <w:lang w:val="en-US" w:eastAsia="en-US"/>
        </w:rPr>
      </w:pPr>
      <w:r w:rsidRPr="00B80E79">
        <w:rPr>
          <w:rFonts w:eastAsiaTheme="minorHAnsi"/>
          <w:color w:val="231F20"/>
          <w:lang w:val="en-US" w:eastAsia="en-US"/>
        </w:rPr>
        <w:t xml:space="preserve">The mortgage interest rate holds a negative and significant coefficient showing, as expected, a negative effect on market real housing prices. </w:t>
      </w:r>
      <w:r w:rsidRPr="00B80E79">
        <w:rPr>
          <w:color w:val="000000"/>
          <w:lang w:val="en-US"/>
        </w:rPr>
        <w:t xml:space="preserve">Mortgage rate remained low in Spain since </w:t>
      </w:r>
      <w:proofErr w:type="spellStart"/>
      <w:r w:rsidRPr="00B80E79">
        <w:rPr>
          <w:color w:val="000000"/>
          <w:lang w:val="en-US"/>
        </w:rPr>
        <w:t>mid 1990s</w:t>
      </w:r>
      <w:proofErr w:type="spellEnd"/>
      <w:r w:rsidRPr="00B80E79">
        <w:rPr>
          <w:color w:val="000000"/>
          <w:lang w:val="en-US"/>
        </w:rPr>
        <w:t xml:space="preserve"> and mortgage costs in real terms fell because of declining nominal rates and because of rising inflation, pushing housing demand and housing prices up.</w:t>
      </w:r>
    </w:p>
    <w:p w:rsidR="00B80E79" w:rsidRPr="00B80E79" w:rsidRDefault="00B80E79" w:rsidP="00B80E79">
      <w:pPr>
        <w:autoSpaceDE w:val="0"/>
        <w:autoSpaceDN w:val="0"/>
        <w:adjustRightInd w:val="0"/>
        <w:spacing w:before="120" w:after="120" w:line="360" w:lineRule="auto"/>
        <w:contextualSpacing/>
        <w:jc w:val="both"/>
        <w:rPr>
          <w:rFonts w:eastAsiaTheme="minorHAnsi"/>
          <w:color w:val="231F20"/>
          <w:lang w:val="en-US" w:eastAsia="en-US"/>
        </w:rPr>
      </w:pPr>
    </w:p>
    <w:p w:rsidR="00B80E79" w:rsidRPr="00B80E79" w:rsidRDefault="00B80E79" w:rsidP="00B80E79">
      <w:pPr>
        <w:autoSpaceDE w:val="0"/>
        <w:autoSpaceDN w:val="0"/>
        <w:adjustRightInd w:val="0"/>
        <w:spacing w:before="120" w:after="120" w:line="360" w:lineRule="auto"/>
        <w:contextualSpacing/>
        <w:jc w:val="both"/>
        <w:rPr>
          <w:rFonts w:eastAsiaTheme="minorHAnsi"/>
          <w:b/>
          <w:color w:val="231F20"/>
          <w:lang w:val="en-US" w:eastAsia="en-US"/>
        </w:rPr>
      </w:pPr>
      <w:r w:rsidRPr="00B80E79">
        <w:rPr>
          <w:rFonts w:eastAsiaTheme="minorHAnsi"/>
          <w:b/>
          <w:color w:val="231F20"/>
          <w:lang w:val="en-US" w:eastAsia="en-US"/>
        </w:rPr>
        <w:t>Conclusions</w:t>
      </w:r>
    </w:p>
    <w:p w:rsidR="00B80E79" w:rsidRPr="00B80E79" w:rsidRDefault="00B80E79" w:rsidP="00B80E79">
      <w:pPr>
        <w:spacing w:before="120" w:after="120" w:line="360" w:lineRule="auto"/>
        <w:contextualSpacing/>
        <w:jc w:val="both"/>
        <w:rPr>
          <w:lang w:val="en-US"/>
        </w:rPr>
      </w:pPr>
      <w:r w:rsidRPr="00B80E79">
        <w:rPr>
          <w:lang w:val="en-US"/>
        </w:rPr>
        <w:t xml:space="preserve">The aim of this paper is </w:t>
      </w:r>
      <w:proofErr w:type="gramStart"/>
      <w:r w:rsidRPr="00B80E79">
        <w:rPr>
          <w:lang w:val="en-US"/>
        </w:rPr>
        <w:t>to empirically determine</w:t>
      </w:r>
      <w:proofErr w:type="gramEnd"/>
      <w:r w:rsidRPr="00B80E79">
        <w:rPr>
          <w:lang w:val="en-US"/>
        </w:rPr>
        <w:t xml:space="preserve"> the influence of land use policies promoting affordable housing on the price of market housing units in Spain. More precisely, we attempt to estimate the effect of the ratio of new affordable dwellings-to-total new dwellings on housing market prices. </w:t>
      </w:r>
      <w:r w:rsidRPr="00B80E79">
        <w:rPr>
          <w:rFonts w:eastAsiaTheme="minorHAnsi"/>
          <w:lang w:val="en-US" w:eastAsia="en-US"/>
        </w:rPr>
        <w:t xml:space="preserve">A set of hypotheses are tested by using different estimation methods including a simple OLS, an OLS with the lagged dependent variable, a fixed effects and a difference-GMM estimator for 50 Spanish regions for the period 1995 to 2010. We consider that the GMM estimation gives the most credible results as it accounts for different sources of </w:t>
      </w:r>
      <w:proofErr w:type="spellStart"/>
      <w:r w:rsidRPr="00B80E79">
        <w:rPr>
          <w:rFonts w:eastAsiaTheme="minorHAnsi"/>
          <w:lang w:val="en-US" w:eastAsia="en-US"/>
        </w:rPr>
        <w:t>endogeneity</w:t>
      </w:r>
      <w:proofErr w:type="spellEnd"/>
      <w:r w:rsidRPr="00B80E79">
        <w:rPr>
          <w:rFonts w:eastAsiaTheme="minorHAnsi"/>
          <w:lang w:val="en-US" w:eastAsia="en-US"/>
        </w:rPr>
        <w:t xml:space="preserve"> biases.</w:t>
      </w:r>
    </w:p>
    <w:p w:rsidR="00B80E79" w:rsidRPr="00B80E79" w:rsidRDefault="00B80E79" w:rsidP="00B80E79">
      <w:pPr>
        <w:autoSpaceDE w:val="0"/>
        <w:autoSpaceDN w:val="0"/>
        <w:adjustRightInd w:val="0"/>
        <w:spacing w:before="120" w:after="120" w:line="360" w:lineRule="auto"/>
        <w:ind w:firstLine="708"/>
        <w:contextualSpacing/>
        <w:jc w:val="both"/>
        <w:rPr>
          <w:lang w:val="en-US"/>
        </w:rPr>
      </w:pPr>
      <w:r w:rsidRPr="00B80E79">
        <w:rPr>
          <w:lang w:val="en-US"/>
        </w:rPr>
        <w:t>Developing and construction interests have claimed in Spain that affordable housing policy has contributed to the increase in housing market prices since lower benefits in the affordable housing sector must be compensated by higher prices in the market-rate housing sector. On the contrary, affordable housing advocates have argued that new affordable housing does not affect housing market prices; quite the opposite, it may even push prices down by increasing housing supply.</w:t>
      </w:r>
    </w:p>
    <w:p w:rsidR="00B80E79" w:rsidRPr="00B80E79" w:rsidRDefault="00B80E79" w:rsidP="00B80E79">
      <w:pPr>
        <w:autoSpaceDE w:val="0"/>
        <w:autoSpaceDN w:val="0"/>
        <w:adjustRightInd w:val="0"/>
        <w:spacing w:before="120" w:after="120" w:line="360" w:lineRule="auto"/>
        <w:ind w:firstLine="708"/>
        <w:contextualSpacing/>
        <w:jc w:val="both"/>
        <w:rPr>
          <w:rFonts w:eastAsiaTheme="minorHAnsi"/>
          <w:color w:val="000000"/>
          <w:lang w:val="en-US" w:eastAsia="en-US"/>
        </w:rPr>
      </w:pPr>
      <w:r w:rsidRPr="00B80E79">
        <w:rPr>
          <w:rFonts w:eastAsiaTheme="minorHAnsi"/>
          <w:lang w:val="en-US" w:eastAsia="en-US"/>
        </w:rPr>
        <w:t>The main conclusion of this study is that the ratio of affordable dwellings completions has a negative and significant effect on</w:t>
      </w:r>
      <w:r w:rsidRPr="00B80E79">
        <w:rPr>
          <w:rFonts w:eastAsiaTheme="minorHAnsi"/>
          <w:color w:val="231F20"/>
          <w:lang w:val="en-US" w:eastAsia="en-US"/>
        </w:rPr>
        <w:t xml:space="preserve"> the level of the real housing market prices; that is,</w:t>
      </w:r>
      <w:r w:rsidRPr="00B80E79">
        <w:rPr>
          <w:rFonts w:eastAsiaTheme="minorHAnsi"/>
          <w:lang w:val="en-US" w:eastAsia="en-US"/>
        </w:rPr>
        <w:t xml:space="preserve"> if housing policy increases the amount of affordable dwellings built from 10% to 30% of total units built, housing market prices will actually drop by 4.24%. </w:t>
      </w:r>
      <w:r w:rsidRPr="00B80E79">
        <w:rPr>
          <w:rFonts w:eastAsiaTheme="minorHAnsi"/>
          <w:color w:val="000000"/>
          <w:lang w:val="en-US" w:eastAsia="en-US"/>
        </w:rPr>
        <w:t>We also find a threshold effect in the relationship between the ratio of affordable dwellings and real housing market prices. We have tried to approximate the point from which this relationship becomes positive. This threshold occurs once the number of affordable dwellings built exceeds 50% of the total units constructed.</w:t>
      </w:r>
    </w:p>
    <w:p w:rsidR="00B80E79" w:rsidRPr="00B80E79" w:rsidRDefault="00B80E79" w:rsidP="00B80E79">
      <w:pPr>
        <w:autoSpaceDE w:val="0"/>
        <w:autoSpaceDN w:val="0"/>
        <w:adjustRightInd w:val="0"/>
        <w:spacing w:before="120" w:after="120" w:line="360" w:lineRule="auto"/>
        <w:ind w:firstLine="708"/>
        <w:contextualSpacing/>
        <w:jc w:val="both"/>
        <w:rPr>
          <w:rFonts w:eastAsiaTheme="minorHAnsi"/>
          <w:color w:val="000000"/>
          <w:lang w:val="en-US" w:eastAsia="en-US"/>
        </w:rPr>
      </w:pPr>
      <w:r w:rsidRPr="00B80E79">
        <w:rPr>
          <w:rFonts w:eastAsiaTheme="minorHAnsi"/>
          <w:color w:val="000000"/>
          <w:lang w:val="en-US" w:eastAsia="en-US"/>
        </w:rPr>
        <w:lastRenderedPageBreak/>
        <w:t xml:space="preserve">These results are very relevant for housing and land use policy making since they provide an empirical framework to design </w:t>
      </w:r>
      <w:proofErr w:type="gramStart"/>
      <w:r w:rsidRPr="00B80E79">
        <w:rPr>
          <w:rFonts w:eastAsiaTheme="minorHAnsi"/>
          <w:color w:val="000000"/>
          <w:lang w:val="en-US" w:eastAsia="en-US"/>
        </w:rPr>
        <w:t>more efficient affordable housing strategies in Spain</w:t>
      </w:r>
      <w:proofErr w:type="gramEnd"/>
      <w:r w:rsidRPr="00B80E79">
        <w:rPr>
          <w:rFonts w:eastAsiaTheme="minorHAnsi"/>
          <w:color w:val="000000"/>
          <w:lang w:val="en-US" w:eastAsia="en-US"/>
        </w:rPr>
        <w:t xml:space="preserve">. Affordable housing does not increase housing market prices, as suggested by construction interests, as long as the share of affordable housing is properly established. Therefore, this work suggests that the debate should not be so focused on the above dichotomy (obligation by land use policies to </w:t>
      </w:r>
      <w:proofErr w:type="spellStart"/>
      <w:r w:rsidRPr="00B80E79">
        <w:rPr>
          <w:rFonts w:eastAsiaTheme="minorHAnsi"/>
          <w:color w:val="000000"/>
          <w:lang w:val="en-US" w:eastAsia="en-US"/>
        </w:rPr>
        <w:t>built</w:t>
      </w:r>
      <w:proofErr w:type="spellEnd"/>
      <w:r w:rsidRPr="00B80E79">
        <w:rPr>
          <w:rFonts w:eastAsiaTheme="minorHAnsi"/>
          <w:color w:val="000000"/>
          <w:lang w:val="en-US" w:eastAsia="en-US"/>
        </w:rPr>
        <w:t xml:space="preserve"> affordable housing or not), but rather on the share of affordable housing at every local housing market.</w:t>
      </w:r>
    </w:p>
    <w:p w:rsidR="00B80E79" w:rsidRPr="00B80E79" w:rsidRDefault="00B80E79" w:rsidP="00B80E79">
      <w:pPr>
        <w:autoSpaceDE w:val="0"/>
        <w:autoSpaceDN w:val="0"/>
        <w:adjustRightInd w:val="0"/>
        <w:spacing w:before="120" w:after="120" w:line="360" w:lineRule="auto"/>
        <w:ind w:firstLine="708"/>
        <w:contextualSpacing/>
        <w:jc w:val="both"/>
        <w:rPr>
          <w:rFonts w:eastAsiaTheme="minorHAnsi"/>
          <w:lang w:val="en-US" w:eastAsia="en-US"/>
        </w:rPr>
      </w:pPr>
      <w:r w:rsidRPr="00B80E79">
        <w:rPr>
          <w:rFonts w:eastAsiaTheme="minorHAnsi"/>
          <w:color w:val="000000"/>
          <w:lang w:val="en-US" w:eastAsia="en-US"/>
        </w:rPr>
        <w:t xml:space="preserve">These results are dependent on specific characteristics of the Spanish housing and land use policy. More studies </w:t>
      </w:r>
      <w:proofErr w:type="gramStart"/>
      <w:r w:rsidRPr="00B80E79">
        <w:rPr>
          <w:rFonts w:eastAsiaTheme="minorHAnsi"/>
          <w:color w:val="000000"/>
          <w:lang w:val="en-US" w:eastAsia="en-US"/>
        </w:rPr>
        <w:t>are needed</w:t>
      </w:r>
      <w:proofErr w:type="gramEnd"/>
      <w:r w:rsidRPr="00B80E79">
        <w:rPr>
          <w:rFonts w:eastAsiaTheme="minorHAnsi"/>
          <w:color w:val="000000"/>
          <w:lang w:val="en-US" w:eastAsia="en-US"/>
        </w:rPr>
        <w:t xml:space="preserve"> for other countries in order to get further insights into the relationship between affordable housing and housing market prices.</w:t>
      </w:r>
    </w:p>
    <w:p w:rsidR="00B80E79" w:rsidRPr="00B80E79" w:rsidRDefault="00B80E79" w:rsidP="00B80E79">
      <w:pPr>
        <w:autoSpaceDE w:val="0"/>
        <w:autoSpaceDN w:val="0"/>
        <w:adjustRightInd w:val="0"/>
        <w:spacing w:before="120" w:after="120" w:line="360" w:lineRule="auto"/>
        <w:contextualSpacing/>
        <w:jc w:val="both"/>
        <w:rPr>
          <w:rFonts w:eastAsiaTheme="minorHAnsi"/>
          <w:color w:val="231F20"/>
          <w:lang w:val="en-US" w:eastAsia="en-US"/>
        </w:rPr>
      </w:pPr>
    </w:p>
    <w:p w:rsidR="00B80E79" w:rsidRPr="00B80E79" w:rsidRDefault="00B80E79" w:rsidP="00B80E79">
      <w:pPr>
        <w:autoSpaceDE w:val="0"/>
        <w:autoSpaceDN w:val="0"/>
        <w:adjustRightInd w:val="0"/>
        <w:spacing w:before="120" w:after="120" w:line="360" w:lineRule="auto"/>
        <w:contextualSpacing/>
        <w:jc w:val="both"/>
        <w:rPr>
          <w:rFonts w:eastAsiaTheme="minorHAnsi"/>
          <w:b/>
          <w:lang w:eastAsia="en-US"/>
        </w:rPr>
      </w:pPr>
      <w:proofErr w:type="spellStart"/>
      <w:r w:rsidRPr="00B80E79">
        <w:rPr>
          <w:rFonts w:eastAsiaTheme="minorHAnsi"/>
          <w:b/>
          <w:lang w:eastAsia="en-US"/>
        </w:rPr>
        <w:t>References</w:t>
      </w:r>
      <w:proofErr w:type="spellEnd"/>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Alguacil, A., Alguacil, J., </w:t>
      </w:r>
      <w:proofErr w:type="spellStart"/>
      <w:r w:rsidRPr="00B80E79">
        <w:rPr>
          <w:rFonts w:eastAsiaTheme="minorHAnsi"/>
          <w:lang w:eastAsia="en-US"/>
        </w:rPr>
        <w:t>Arasanz</w:t>
      </w:r>
      <w:proofErr w:type="spellEnd"/>
      <w:r w:rsidRPr="00B80E79">
        <w:rPr>
          <w:rFonts w:eastAsiaTheme="minorHAnsi"/>
          <w:lang w:eastAsia="en-US"/>
        </w:rPr>
        <w:t xml:space="preserve">, J., Fernández, G., Paniagua, J., Olea, S., &amp; Renes, V. (2013) </w:t>
      </w:r>
      <w:r w:rsidRPr="00B80E79">
        <w:rPr>
          <w:rFonts w:eastAsiaTheme="minorHAnsi"/>
          <w:i/>
          <w:lang w:eastAsia="en-US"/>
        </w:rPr>
        <w:t>La vivienda en España en el siglo XXI</w:t>
      </w:r>
      <w:r w:rsidRPr="00B80E79">
        <w:rPr>
          <w:rFonts w:eastAsiaTheme="minorHAnsi"/>
          <w:lang w:eastAsia="en-US"/>
        </w:rPr>
        <w:t xml:space="preserve"> (Madrid: Cáritas Española)</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 xml:space="preserve">Arellano M. &amp; Bond, S. (1991) </w:t>
      </w:r>
      <w:proofErr w:type="gramStart"/>
      <w:r w:rsidRPr="00B80E79">
        <w:rPr>
          <w:rFonts w:eastAsiaTheme="minorHAnsi"/>
          <w:lang w:val="en-US" w:eastAsia="en-US"/>
        </w:rPr>
        <w:t>Some</w:t>
      </w:r>
      <w:proofErr w:type="gramEnd"/>
      <w:r w:rsidRPr="00B80E79">
        <w:rPr>
          <w:rFonts w:eastAsiaTheme="minorHAnsi"/>
          <w:lang w:val="en-US" w:eastAsia="en-US"/>
        </w:rPr>
        <w:t xml:space="preserve"> test of specification for panel data: Monte Carlo evidence and an application to employment equations, </w:t>
      </w:r>
      <w:r w:rsidRPr="00B80E79">
        <w:rPr>
          <w:rFonts w:eastAsiaTheme="minorHAnsi"/>
          <w:i/>
          <w:lang w:val="en-US" w:eastAsia="en-US"/>
        </w:rPr>
        <w:t>Review of Economic Studies</w:t>
      </w:r>
      <w:r w:rsidRPr="00B80E79">
        <w:rPr>
          <w:rFonts w:eastAsiaTheme="minorHAnsi"/>
          <w:lang w:val="en-US" w:eastAsia="en-US"/>
        </w:rPr>
        <w:t>, 58(2), pp. 277-297.</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t>Asfour</w:t>
      </w:r>
      <w:proofErr w:type="spellEnd"/>
      <w:r w:rsidRPr="00B80E79">
        <w:rPr>
          <w:rFonts w:eastAsiaTheme="minorHAnsi"/>
          <w:lang w:val="en-US" w:eastAsia="en-US"/>
        </w:rPr>
        <w:t xml:space="preserve">, O.S. (2017) </w:t>
      </w:r>
      <w:proofErr w:type="gramStart"/>
      <w:r w:rsidRPr="00B80E79">
        <w:rPr>
          <w:rFonts w:eastAsiaTheme="minorHAnsi"/>
          <w:lang w:val="en-US" w:eastAsia="en-US"/>
        </w:rPr>
        <w:t>The</w:t>
      </w:r>
      <w:proofErr w:type="gramEnd"/>
      <w:r w:rsidRPr="00B80E79">
        <w:rPr>
          <w:rFonts w:eastAsiaTheme="minorHAnsi"/>
          <w:lang w:val="en-US" w:eastAsia="en-US"/>
        </w:rPr>
        <w:t xml:space="preserve"> role of land planning policies in supporting housing affordability: The case of the Gaza Strip, </w:t>
      </w:r>
      <w:r w:rsidRPr="00B80E79">
        <w:rPr>
          <w:rFonts w:eastAsiaTheme="minorHAnsi"/>
          <w:i/>
          <w:lang w:val="en-US" w:eastAsia="en-US"/>
        </w:rPr>
        <w:t>Land Use Policy</w:t>
      </w:r>
      <w:r w:rsidRPr="00B80E79">
        <w:rPr>
          <w:rFonts w:eastAsiaTheme="minorHAnsi"/>
          <w:lang w:val="en-US" w:eastAsia="en-US"/>
        </w:rPr>
        <w:t>, 62, pp. 40-48.</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hyperlink r:id="rId11" w:history="1">
        <w:r w:rsidRPr="00B80E79">
          <w:rPr>
            <w:rFonts w:eastAsiaTheme="minorHAnsi"/>
            <w:lang w:eastAsia="en-US"/>
          </w:rPr>
          <w:t xml:space="preserve">Azumendi, E. (2004) </w:t>
        </w:r>
        <w:r w:rsidRPr="00B80E79">
          <w:rPr>
            <w:rFonts w:eastAsiaTheme="minorHAnsi"/>
            <w:i/>
            <w:lang w:eastAsia="en-US"/>
          </w:rPr>
          <w:t>Los constructores dicen que la Ley del Suelo encarece la vivienda libre</w:t>
        </w:r>
        <w:r w:rsidRPr="00B80E79">
          <w:rPr>
            <w:rFonts w:eastAsiaTheme="minorHAnsi"/>
            <w:lang w:eastAsia="en-US"/>
          </w:rPr>
          <w:t>, El País. Retrieved from http://elpais.com.</w:t>
        </w:r>
      </w:hyperlink>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hyperlink r:id="rId12" w:history="1">
        <w:r w:rsidRPr="00B80E79">
          <w:rPr>
            <w:rStyle w:val="Hipervnculo"/>
            <w:rFonts w:eastAsiaTheme="minorHAnsi"/>
            <w:lang w:eastAsia="en-US"/>
          </w:rPr>
          <w:t xml:space="preserve">Baza, N. (2008) </w:t>
        </w:r>
        <w:r w:rsidRPr="00B80E79">
          <w:rPr>
            <w:rStyle w:val="Hipervnculo"/>
            <w:rFonts w:eastAsiaTheme="minorHAnsi"/>
            <w:i/>
            <w:lang w:eastAsia="en-US"/>
          </w:rPr>
          <w:t>Objetivo vivienda. Web del Ayuntamiento de Bilbao</w:t>
        </w:r>
        <w:r w:rsidRPr="00B80E79">
          <w:rPr>
            <w:rStyle w:val="Hipervnculo"/>
            <w:rFonts w:eastAsiaTheme="minorHAnsi"/>
            <w:lang w:eastAsia="en-US"/>
          </w:rPr>
          <w:t xml:space="preserve">. </w:t>
        </w:r>
        <w:r w:rsidRPr="00B80E79">
          <w:rPr>
            <w:rStyle w:val="Hipervnculo"/>
            <w:rFonts w:eastAsiaTheme="minorHAnsi"/>
            <w:lang w:val="en-US" w:eastAsia="en-US"/>
          </w:rPr>
          <w:t>Retrieved from http://www.bilbao.eus.</w:t>
        </w:r>
      </w:hyperlink>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 xml:space="preserve">Beer, A., </w:t>
      </w:r>
      <w:proofErr w:type="spellStart"/>
      <w:r w:rsidRPr="00B80E79">
        <w:rPr>
          <w:rFonts w:eastAsiaTheme="minorHAnsi"/>
          <w:lang w:val="en-US" w:eastAsia="en-US"/>
        </w:rPr>
        <w:t>Kearins</w:t>
      </w:r>
      <w:proofErr w:type="spellEnd"/>
      <w:r w:rsidRPr="00B80E79">
        <w:rPr>
          <w:rFonts w:eastAsiaTheme="minorHAnsi"/>
          <w:lang w:val="en-US" w:eastAsia="en-US"/>
        </w:rPr>
        <w:t xml:space="preserve">, B. &amp; </w:t>
      </w:r>
      <w:proofErr w:type="spellStart"/>
      <w:r w:rsidRPr="00B80E79">
        <w:rPr>
          <w:rFonts w:eastAsiaTheme="minorHAnsi"/>
          <w:lang w:val="en-US" w:eastAsia="en-US"/>
        </w:rPr>
        <w:t>Pieters</w:t>
      </w:r>
      <w:proofErr w:type="spellEnd"/>
      <w:r w:rsidRPr="00B80E79">
        <w:rPr>
          <w:rFonts w:eastAsiaTheme="minorHAnsi"/>
          <w:lang w:val="en-US" w:eastAsia="en-US"/>
        </w:rPr>
        <w:t xml:space="preserve">, H. (2007) Housing affordability and planning in Australia: the challenge of policy under neo-liberalism. </w:t>
      </w:r>
      <w:r w:rsidRPr="00B80E79">
        <w:rPr>
          <w:rFonts w:eastAsiaTheme="minorHAnsi"/>
          <w:i/>
          <w:lang w:val="en-US" w:eastAsia="en-US"/>
        </w:rPr>
        <w:t>Housing studies</w:t>
      </w:r>
      <w:r w:rsidRPr="00B80E79">
        <w:rPr>
          <w:rFonts w:eastAsiaTheme="minorHAnsi"/>
          <w:lang w:val="en-US" w:eastAsia="en-US"/>
        </w:rPr>
        <w:t>, 22(1), pp. 11-24.</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 xml:space="preserve">Bond, S.R. (2002) Dynamic panel data models: a guide to micro data methods and practice, </w:t>
      </w:r>
      <w:r w:rsidRPr="00B80E79">
        <w:rPr>
          <w:rFonts w:eastAsiaTheme="minorHAnsi"/>
          <w:i/>
          <w:lang w:val="en-US" w:eastAsia="en-US"/>
        </w:rPr>
        <w:t>Portuguese Economic Journal</w:t>
      </w:r>
      <w:r w:rsidRPr="00B80E79">
        <w:rPr>
          <w:rFonts w:eastAsiaTheme="minorHAnsi"/>
          <w:lang w:val="en-US" w:eastAsia="en-US"/>
        </w:rPr>
        <w:t>, 1, pp. 141-162.</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t>Brunick</w:t>
      </w:r>
      <w:proofErr w:type="spellEnd"/>
      <w:r w:rsidRPr="00B80E79">
        <w:rPr>
          <w:rFonts w:eastAsiaTheme="minorHAnsi"/>
          <w:lang w:val="en-US" w:eastAsia="en-US"/>
        </w:rPr>
        <w:t xml:space="preserve">, N. (2004) </w:t>
      </w:r>
      <w:proofErr w:type="gramStart"/>
      <w:r w:rsidRPr="00B80E79">
        <w:rPr>
          <w:rFonts w:eastAsiaTheme="minorHAnsi"/>
          <w:lang w:val="en-US" w:eastAsia="en-US"/>
        </w:rPr>
        <w:t>The</w:t>
      </w:r>
      <w:proofErr w:type="gramEnd"/>
      <w:r w:rsidRPr="00B80E79">
        <w:rPr>
          <w:rFonts w:eastAsiaTheme="minorHAnsi"/>
          <w:lang w:val="en-US" w:eastAsia="en-US"/>
        </w:rPr>
        <w:t xml:space="preserve"> inclusionary housing debate: The effectiveness of mandatory programs over voluntary programs, </w:t>
      </w:r>
      <w:r w:rsidRPr="00B80E79">
        <w:rPr>
          <w:rFonts w:eastAsiaTheme="minorHAnsi"/>
          <w:i/>
          <w:lang w:val="en-US" w:eastAsia="en-US"/>
        </w:rPr>
        <w:t>Zoning Practice</w:t>
      </w:r>
      <w:r w:rsidRPr="00B80E79">
        <w:rPr>
          <w:rFonts w:eastAsiaTheme="minorHAnsi"/>
          <w:lang w:val="en-US" w:eastAsia="en-US"/>
        </w:rPr>
        <w:t>, 9(1), pp. 1-7.</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proofErr w:type="spellStart"/>
      <w:r w:rsidRPr="00B80E79">
        <w:rPr>
          <w:rFonts w:eastAsiaTheme="minorHAnsi"/>
          <w:lang w:eastAsia="en-US"/>
        </w:rPr>
        <w:t>Burón</w:t>
      </w:r>
      <w:proofErr w:type="spellEnd"/>
      <w:r w:rsidRPr="00B80E79">
        <w:rPr>
          <w:rFonts w:eastAsiaTheme="minorHAnsi"/>
          <w:lang w:eastAsia="en-US"/>
        </w:rPr>
        <w:t xml:space="preserve">, J. (2006) Las reservas de suelo para la vivienda protegida: Lecciones del caso de Vitoria-Gasteiz, </w:t>
      </w:r>
      <w:r w:rsidRPr="00B80E79">
        <w:rPr>
          <w:rFonts w:eastAsiaTheme="minorHAnsi"/>
          <w:i/>
          <w:lang w:eastAsia="en-US"/>
        </w:rPr>
        <w:t>Arquitectura, Ciudad y Entorno</w:t>
      </w:r>
      <w:r w:rsidRPr="00B80E79">
        <w:rPr>
          <w:rFonts w:eastAsiaTheme="minorHAnsi"/>
          <w:lang w:eastAsia="en-US"/>
        </w:rPr>
        <w:t>, 2, pp. 85-103.</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lastRenderedPageBreak/>
        <w:t>Calavita</w:t>
      </w:r>
      <w:proofErr w:type="spellEnd"/>
      <w:r w:rsidRPr="00B80E79">
        <w:rPr>
          <w:rFonts w:eastAsiaTheme="minorHAnsi"/>
          <w:lang w:val="en-US" w:eastAsia="en-US"/>
        </w:rPr>
        <w:t xml:space="preserve">, N., &amp; </w:t>
      </w:r>
      <w:proofErr w:type="spellStart"/>
      <w:r w:rsidRPr="00B80E79">
        <w:rPr>
          <w:rFonts w:eastAsiaTheme="minorHAnsi"/>
          <w:lang w:val="en-US" w:eastAsia="en-US"/>
        </w:rPr>
        <w:t>Mallach</w:t>
      </w:r>
      <w:proofErr w:type="spellEnd"/>
      <w:r w:rsidRPr="00B80E79">
        <w:rPr>
          <w:rFonts w:eastAsiaTheme="minorHAnsi"/>
          <w:lang w:val="en-US" w:eastAsia="en-US"/>
        </w:rPr>
        <w:t xml:space="preserve">, A. (2009) Inclusionary housing, incentives, and land value recapture, </w:t>
      </w:r>
      <w:proofErr w:type="gramStart"/>
      <w:r w:rsidRPr="00B80E79">
        <w:rPr>
          <w:rFonts w:eastAsiaTheme="minorHAnsi"/>
          <w:i/>
          <w:lang w:val="en-US" w:eastAsia="en-US"/>
        </w:rPr>
        <w:t>Land lines</w:t>
      </w:r>
      <w:proofErr w:type="gramEnd"/>
      <w:r w:rsidRPr="00B80E79">
        <w:rPr>
          <w:rFonts w:eastAsiaTheme="minorHAnsi"/>
          <w:lang w:val="en-US" w:eastAsia="en-US"/>
        </w:rPr>
        <w:t>, 21(1), pp. 15-21.</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Cuadrado, J.B. (2008) Una política de vivienda alternativa, </w:t>
      </w:r>
      <w:r w:rsidRPr="00B80E79">
        <w:rPr>
          <w:rFonts w:eastAsiaTheme="minorHAnsi"/>
          <w:i/>
          <w:lang w:eastAsia="en-US"/>
        </w:rPr>
        <w:t>Revista Ciudad y Territorio: Estudios Territoriales</w:t>
      </w:r>
      <w:r w:rsidRPr="00B80E79">
        <w:rPr>
          <w:rFonts w:eastAsiaTheme="minorHAnsi"/>
          <w:lang w:eastAsia="en-US"/>
        </w:rPr>
        <w:t>, 40(155), pp. 9-40.</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hyperlink r:id="rId13" w:history="1">
        <w:r w:rsidRPr="00B80E79">
          <w:rPr>
            <w:rStyle w:val="Hipervnculo"/>
            <w:rFonts w:eastAsiaTheme="minorHAnsi"/>
            <w:lang w:eastAsia="en-US"/>
          </w:rPr>
          <w:t xml:space="preserve">El Economista (2007) </w:t>
        </w:r>
        <w:r w:rsidRPr="00B80E79">
          <w:rPr>
            <w:rStyle w:val="Hipervnculo"/>
            <w:rFonts w:eastAsiaTheme="minorHAnsi"/>
            <w:i/>
            <w:lang w:eastAsia="en-US"/>
          </w:rPr>
          <w:t>Promotores advierten encarecimiento precio terrenos y vivienda por nueva Ley</w:t>
        </w:r>
        <w:r w:rsidRPr="00B80E79">
          <w:rPr>
            <w:rStyle w:val="Hipervnculo"/>
            <w:rFonts w:eastAsiaTheme="minorHAnsi"/>
            <w:lang w:eastAsia="en-US"/>
          </w:rPr>
          <w:t>, El Economista.es. Retrieved (June 28) from http://www.eleconomista.es.</w:t>
        </w:r>
      </w:hyperlink>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hyperlink r:id="rId14" w:history="1">
        <w:r w:rsidRPr="00B80E79">
          <w:rPr>
            <w:rStyle w:val="Hipervnculo"/>
            <w:rFonts w:eastAsiaTheme="minorHAnsi"/>
            <w:lang w:eastAsia="en-US"/>
          </w:rPr>
          <w:t xml:space="preserve">El Mundo (2006) </w:t>
        </w:r>
        <w:r w:rsidRPr="00B80E79">
          <w:rPr>
            <w:rStyle w:val="Hipervnculo"/>
            <w:rFonts w:eastAsiaTheme="minorHAnsi"/>
            <w:i/>
            <w:lang w:eastAsia="en-US"/>
          </w:rPr>
          <w:t>Los promotores dicen que la nueva Ley del Suelo encarecerá la vivienda</w:t>
        </w:r>
        <w:r w:rsidRPr="00B80E79">
          <w:rPr>
            <w:rStyle w:val="Hipervnculo"/>
            <w:rFonts w:eastAsiaTheme="minorHAnsi"/>
            <w:lang w:eastAsia="en-US"/>
          </w:rPr>
          <w:t xml:space="preserve">. </w:t>
        </w:r>
        <w:r w:rsidRPr="00B80E79">
          <w:rPr>
            <w:rStyle w:val="Hipervnculo"/>
            <w:rFonts w:eastAsiaTheme="minorHAnsi"/>
            <w:lang w:val="en-US" w:eastAsia="en-US"/>
          </w:rPr>
          <w:t>El Mundo. Retrieved (July 20) from http://www.elmundo.es.</w:t>
        </w:r>
      </w:hyperlink>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 xml:space="preserve">Esteban, M. &amp; Altuzarra, A. (2008) A model of the Spanish Housing Market, </w:t>
      </w:r>
      <w:r w:rsidRPr="00B80E79">
        <w:rPr>
          <w:rFonts w:eastAsiaTheme="minorHAnsi"/>
          <w:i/>
          <w:lang w:val="en-US" w:eastAsia="en-US"/>
        </w:rPr>
        <w:t>Journal of Post Keynesian Economics</w:t>
      </w:r>
      <w:r w:rsidRPr="00B80E79">
        <w:rPr>
          <w:rFonts w:eastAsiaTheme="minorHAnsi"/>
          <w:lang w:val="en-US" w:eastAsia="en-US"/>
        </w:rPr>
        <w:t>, 30(3), pp. 353-373.</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Esteban, M. &amp; </w:t>
      </w:r>
      <w:proofErr w:type="spellStart"/>
      <w:r w:rsidRPr="00B80E79">
        <w:rPr>
          <w:rFonts w:eastAsiaTheme="minorHAnsi"/>
          <w:lang w:eastAsia="en-US"/>
        </w:rPr>
        <w:t>Altuzarra</w:t>
      </w:r>
      <w:proofErr w:type="spellEnd"/>
      <w:r w:rsidRPr="00B80E79">
        <w:rPr>
          <w:rFonts w:eastAsiaTheme="minorHAnsi"/>
          <w:lang w:eastAsia="en-US"/>
        </w:rPr>
        <w:t xml:space="preserve">, A. (2014) ¿Hacia un nuevo modelo de política de vivienda en España?, in A. Sánchez Andrés &amp; J.A. Tomás </w:t>
      </w:r>
      <w:proofErr w:type="spellStart"/>
      <w:r w:rsidRPr="00B80E79">
        <w:rPr>
          <w:rFonts w:eastAsiaTheme="minorHAnsi"/>
          <w:lang w:eastAsia="en-US"/>
        </w:rPr>
        <w:t>Carpi</w:t>
      </w:r>
      <w:proofErr w:type="spellEnd"/>
      <w:r w:rsidRPr="00B80E79">
        <w:rPr>
          <w:rFonts w:eastAsiaTheme="minorHAnsi"/>
          <w:lang w:eastAsia="en-US"/>
        </w:rPr>
        <w:t xml:space="preserve"> (Eds.) </w:t>
      </w:r>
      <w:r w:rsidRPr="00B80E79">
        <w:rPr>
          <w:rFonts w:eastAsiaTheme="minorHAnsi"/>
          <w:i/>
          <w:lang w:eastAsia="en-US"/>
        </w:rPr>
        <w:t xml:space="preserve">Crisis y política económica en España: Un análisis de la política económica actual, pp. </w:t>
      </w:r>
      <w:r w:rsidRPr="00B80E79">
        <w:rPr>
          <w:rFonts w:eastAsiaTheme="minorHAnsi"/>
          <w:lang w:eastAsia="en-US"/>
        </w:rPr>
        <w:t>175-202 (Madrid: Thomson Reuters-Aranzadi).</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Europa </w:t>
      </w:r>
      <w:proofErr w:type="spellStart"/>
      <w:r w:rsidRPr="00B80E79">
        <w:rPr>
          <w:rFonts w:eastAsiaTheme="minorHAnsi"/>
          <w:lang w:eastAsia="en-US"/>
        </w:rPr>
        <w:t>Press</w:t>
      </w:r>
      <w:proofErr w:type="spellEnd"/>
      <w:r w:rsidRPr="00B80E79">
        <w:rPr>
          <w:rFonts w:eastAsiaTheme="minorHAnsi"/>
          <w:lang w:eastAsia="en-US"/>
        </w:rPr>
        <w:t xml:space="preserve"> (2010) </w:t>
      </w:r>
      <w:proofErr w:type="spellStart"/>
      <w:r w:rsidRPr="00B80E79">
        <w:rPr>
          <w:rFonts w:eastAsiaTheme="minorHAnsi"/>
          <w:i/>
          <w:lang w:eastAsia="en-US"/>
        </w:rPr>
        <w:t>Ascobi</w:t>
      </w:r>
      <w:proofErr w:type="spellEnd"/>
      <w:r w:rsidRPr="00B80E79">
        <w:rPr>
          <w:rFonts w:eastAsiaTheme="minorHAnsi"/>
          <w:i/>
          <w:lang w:eastAsia="en-US"/>
        </w:rPr>
        <w:t xml:space="preserve"> pide subir la VPO y dice que la libre es más cara porque debe "soportar sobrecostes" que no asume la protegida</w:t>
      </w:r>
      <w:r w:rsidRPr="00B80E79">
        <w:rPr>
          <w:rFonts w:eastAsiaTheme="minorHAnsi"/>
          <w:lang w:eastAsia="en-US"/>
        </w:rPr>
        <w:t xml:space="preserve">, Europa </w:t>
      </w:r>
      <w:proofErr w:type="spellStart"/>
      <w:r w:rsidRPr="00B80E79">
        <w:rPr>
          <w:rFonts w:eastAsiaTheme="minorHAnsi"/>
          <w:lang w:eastAsia="en-US"/>
        </w:rPr>
        <w:t>Press</w:t>
      </w:r>
      <w:proofErr w:type="spellEnd"/>
      <w:r w:rsidRPr="00B80E79">
        <w:rPr>
          <w:rFonts w:eastAsiaTheme="minorHAnsi"/>
          <w:lang w:eastAsia="en-US"/>
        </w:rPr>
        <w:t xml:space="preserve">, </w:t>
      </w:r>
      <w:proofErr w:type="spellStart"/>
      <w:r w:rsidRPr="00B80E79">
        <w:rPr>
          <w:rFonts w:eastAsiaTheme="minorHAnsi"/>
          <w:lang w:eastAsia="en-US"/>
        </w:rPr>
        <w:t>Retrieved</w:t>
      </w:r>
      <w:proofErr w:type="spellEnd"/>
      <w:r w:rsidRPr="00B80E79">
        <w:rPr>
          <w:rFonts w:eastAsiaTheme="minorHAnsi"/>
          <w:lang w:eastAsia="en-US"/>
        </w:rPr>
        <w:t xml:space="preserve"> (</w:t>
      </w:r>
      <w:proofErr w:type="spellStart"/>
      <w:r w:rsidRPr="00B80E79">
        <w:rPr>
          <w:rFonts w:eastAsiaTheme="minorHAnsi"/>
          <w:lang w:eastAsia="en-US"/>
        </w:rPr>
        <w:t>October</w:t>
      </w:r>
      <w:proofErr w:type="spellEnd"/>
      <w:r w:rsidRPr="00B80E79">
        <w:rPr>
          <w:rFonts w:eastAsiaTheme="minorHAnsi"/>
          <w:lang w:eastAsia="en-US"/>
        </w:rPr>
        <w:t xml:space="preserve"> 28) </w:t>
      </w:r>
      <w:proofErr w:type="spellStart"/>
      <w:r w:rsidRPr="00B80E79">
        <w:rPr>
          <w:rFonts w:eastAsiaTheme="minorHAnsi"/>
          <w:lang w:eastAsia="en-US"/>
        </w:rPr>
        <w:t>from</w:t>
      </w:r>
      <w:proofErr w:type="spellEnd"/>
      <w:r w:rsidRPr="00B80E79">
        <w:rPr>
          <w:rFonts w:eastAsiaTheme="minorHAnsi"/>
          <w:lang w:eastAsia="en-US"/>
        </w:rPr>
        <w:t xml:space="preserve"> http://www.finanzas.com.</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 xml:space="preserve">Farrell, K.A., &amp; </w:t>
      </w:r>
      <w:proofErr w:type="spellStart"/>
      <w:r w:rsidRPr="00B80E79">
        <w:rPr>
          <w:rFonts w:eastAsiaTheme="minorHAnsi"/>
          <w:lang w:val="en-US" w:eastAsia="en-US"/>
        </w:rPr>
        <w:t>Hersch</w:t>
      </w:r>
      <w:proofErr w:type="spellEnd"/>
      <w:r w:rsidRPr="00B80E79">
        <w:rPr>
          <w:rFonts w:eastAsiaTheme="minorHAnsi"/>
          <w:lang w:val="en-US" w:eastAsia="en-US"/>
        </w:rPr>
        <w:t xml:space="preserve">, P. (2005) Additions to Corporate Boards: The Effect of Gender, </w:t>
      </w:r>
      <w:r w:rsidRPr="00B80E79">
        <w:rPr>
          <w:rFonts w:eastAsiaTheme="minorHAnsi"/>
          <w:i/>
          <w:lang w:val="en-US" w:eastAsia="en-US"/>
        </w:rPr>
        <w:t>Journal of Corporate Finance</w:t>
      </w:r>
      <w:r w:rsidRPr="00B80E79">
        <w:rPr>
          <w:rFonts w:eastAsiaTheme="minorHAnsi"/>
          <w:lang w:val="en-US" w:eastAsia="en-US"/>
        </w:rPr>
        <w:t>, 11(1-2), pp. 85-106.</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hyperlink r:id="rId15" w:history="1">
        <w:r w:rsidRPr="00B80E79">
          <w:rPr>
            <w:rStyle w:val="Hipervnculo"/>
            <w:rFonts w:eastAsiaTheme="minorHAnsi"/>
            <w:lang w:eastAsia="en-US"/>
          </w:rPr>
          <w:t>García Montalvo, J. (1999) El precio del suelo: la polémica interminable. Segunda Jornada sobre Nuevas Fronteras de la Política Económica organizada por el Centre de Recerca en Economía Internacional y La Vanguardia, Retrieved from http://docplayer.es.</w:t>
        </w:r>
      </w:hyperlink>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García Montalvo, J.G. (2004) Políticas públicas y precio de la vivienda. </w:t>
      </w:r>
      <w:r w:rsidRPr="00B80E79">
        <w:rPr>
          <w:rFonts w:eastAsiaTheme="minorHAnsi"/>
          <w:i/>
          <w:lang w:eastAsia="en-US"/>
        </w:rPr>
        <w:t>Cuadernos de Información Económica</w:t>
      </w:r>
      <w:r w:rsidRPr="00B80E79">
        <w:rPr>
          <w:rFonts w:eastAsiaTheme="minorHAnsi"/>
          <w:lang w:eastAsia="en-US"/>
        </w:rPr>
        <w:t>, (178), pp. 65-69.</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García-Álvarez García, G. (2010) Las reservas de suelo para viviendas de protección pública, in R. Fernández López, </w:t>
      </w:r>
      <w:r w:rsidRPr="00B80E79">
        <w:rPr>
          <w:rFonts w:eastAsiaTheme="minorHAnsi"/>
          <w:i/>
          <w:lang w:eastAsia="en-US"/>
        </w:rPr>
        <w:t>Construyendo el derecho a la vivienda</w:t>
      </w:r>
      <w:r w:rsidRPr="00B80E79">
        <w:rPr>
          <w:rFonts w:eastAsiaTheme="minorHAnsi"/>
          <w:lang w:eastAsia="en-US"/>
        </w:rPr>
        <w:t>, pp. 383-409 (Madrid: Marcial Pons).</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hyperlink r:id="rId16" w:history="1">
        <w:r w:rsidRPr="00B80E79">
          <w:rPr>
            <w:rStyle w:val="Hipervnculo"/>
            <w:rFonts w:eastAsiaTheme="minorHAnsi"/>
            <w:lang w:eastAsia="en-US"/>
          </w:rPr>
          <w:t>Guardiola (2006) La Apecc augura que la Ley del Suelo encarecerá todavía más la vivienda, El Periódico Mediterráneo, Retrieved (December 10) from http://www.elperiodicomediterraneo.com.</w:t>
        </w:r>
      </w:hyperlink>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lastRenderedPageBreak/>
        <w:t>Gurran</w:t>
      </w:r>
      <w:proofErr w:type="spellEnd"/>
      <w:r w:rsidRPr="00B80E79">
        <w:rPr>
          <w:rFonts w:eastAsiaTheme="minorHAnsi"/>
          <w:lang w:val="en-US" w:eastAsia="en-US"/>
        </w:rPr>
        <w:t xml:space="preserve">, N. &amp; Whitehead, C. (2011) Planning and affordable housing in Australia and the UK: a comparative perspective, </w:t>
      </w:r>
      <w:r w:rsidRPr="00B80E79">
        <w:rPr>
          <w:rFonts w:eastAsiaTheme="minorHAnsi"/>
          <w:i/>
          <w:lang w:val="en-US" w:eastAsia="en-US"/>
        </w:rPr>
        <w:t>Housing studies</w:t>
      </w:r>
      <w:r w:rsidRPr="00B80E79">
        <w:rPr>
          <w:rFonts w:eastAsiaTheme="minorHAnsi"/>
          <w:lang w:val="en-US" w:eastAsia="en-US"/>
        </w:rPr>
        <w:t>, 26(7-8), pp.1193-1214.</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Hansson, A.G. (2017) Promoting planning for housing development: What can Sweden learn from Germany</w:t>
      </w:r>
      <w:proofErr w:type="gramStart"/>
      <w:r w:rsidRPr="00B80E79">
        <w:rPr>
          <w:rFonts w:eastAsiaTheme="minorHAnsi"/>
          <w:lang w:val="en-US" w:eastAsia="en-US"/>
        </w:rPr>
        <w:t>?,</w:t>
      </w:r>
      <w:proofErr w:type="gramEnd"/>
      <w:r w:rsidRPr="00B80E79">
        <w:rPr>
          <w:rFonts w:eastAsiaTheme="minorHAnsi"/>
          <w:lang w:val="en-US" w:eastAsia="en-US"/>
        </w:rPr>
        <w:t xml:space="preserve"> </w:t>
      </w:r>
      <w:r w:rsidRPr="00B80E79">
        <w:rPr>
          <w:rFonts w:eastAsiaTheme="minorHAnsi"/>
          <w:i/>
          <w:lang w:val="en-US" w:eastAsia="en-US"/>
        </w:rPr>
        <w:t>Land Use Policy</w:t>
      </w:r>
      <w:r w:rsidRPr="00B80E79">
        <w:rPr>
          <w:rFonts w:eastAsiaTheme="minorHAnsi"/>
          <w:lang w:val="en-US" w:eastAsia="en-US"/>
        </w:rPr>
        <w:t>, 64, pp. 470-478.</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 xml:space="preserve">Hoekstra, J., Heras </w:t>
      </w:r>
      <w:proofErr w:type="spellStart"/>
      <w:r w:rsidRPr="00B80E79">
        <w:rPr>
          <w:rFonts w:eastAsiaTheme="minorHAnsi"/>
          <w:lang w:val="en-US" w:eastAsia="en-US"/>
        </w:rPr>
        <w:t>Saizarbitoria</w:t>
      </w:r>
      <w:proofErr w:type="spellEnd"/>
      <w:r w:rsidRPr="00B80E79">
        <w:rPr>
          <w:rFonts w:eastAsiaTheme="minorHAnsi"/>
          <w:lang w:val="en-US" w:eastAsia="en-US"/>
        </w:rPr>
        <w:t xml:space="preserve">, I., &amp; </w:t>
      </w:r>
      <w:proofErr w:type="spellStart"/>
      <w:r w:rsidRPr="00B80E79">
        <w:rPr>
          <w:rFonts w:eastAsiaTheme="minorHAnsi"/>
          <w:lang w:val="en-US" w:eastAsia="en-US"/>
        </w:rPr>
        <w:t>Etxarri</w:t>
      </w:r>
      <w:proofErr w:type="spellEnd"/>
      <w:r w:rsidRPr="00B80E79">
        <w:rPr>
          <w:rFonts w:eastAsiaTheme="minorHAnsi"/>
          <w:lang w:val="en-US" w:eastAsia="en-US"/>
        </w:rPr>
        <w:t>, A.E. (2010) Recent changes in Spanish housing policies: subsidized owner-occupancy dwellings as a new tenure sector</w:t>
      </w:r>
      <w:proofErr w:type="gramStart"/>
      <w:r w:rsidRPr="00B80E79">
        <w:rPr>
          <w:rFonts w:eastAsiaTheme="minorHAnsi"/>
          <w:lang w:val="en-US" w:eastAsia="en-US"/>
        </w:rPr>
        <w:t>?,</w:t>
      </w:r>
      <w:proofErr w:type="gramEnd"/>
      <w:r w:rsidRPr="00B80E79">
        <w:rPr>
          <w:rFonts w:eastAsiaTheme="minorHAnsi"/>
          <w:lang w:val="en-US" w:eastAsia="en-US"/>
        </w:rPr>
        <w:t xml:space="preserve"> </w:t>
      </w:r>
      <w:r w:rsidRPr="00B80E79">
        <w:rPr>
          <w:rFonts w:eastAsiaTheme="minorHAnsi"/>
          <w:i/>
          <w:lang w:val="en-US" w:eastAsia="en-US"/>
        </w:rPr>
        <w:t>Journal of Housing and the Built Environment</w:t>
      </w:r>
      <w:r w:rsidRPr="00B80E79">
        <w:rPr>
          <w:rFonts w:eastAsiaTheme="minorHAnsi"/>
          <w:lang w:val="en-US" w:eastAsia="en-US"/>
        </w:rPr>
        <w:t>, 25(1), pp. 125-138.</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Iglesias González, F. (2008) Régimen jurídico de la vivienda protegida y políticas de suelo, </w:t>
      </w:r>
      <w:r w:rsidRPr="00B80E79">
        <w:rPr>
          <w:rFonts w:eastAsiaTheme="minorHAnsi"/>
          <w:i/>
          <w:lang w:eastAsia="en-US"/>
        </w:rPr>
        <w:t>Anuario de la Facultad de Derecho de la Universidad Autónoma de Madrid</w:t>
      </w:r>
      <w:r w:rsidRPr="00B80E79">
        <w:rPr>
          <w:rFonts w:eastAsiaTheme="minorHAnsi"/>
          <w:lang w:eastAsia="en-US"/>
        </w:rPr>
        <w:t>, (12), pp. 219-237.</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hyperlink r:id="rId17" w:history="1">
        <w:r w:rsidRPr="00B80E79">
          <w:rPr>
            <w:rStyle w:val="Hipervnculo"/>
            <w:rFonts w:eastAsiaTheme="minorHAnsi"/>
            <w:lang w:eastAsia="en-US"/>
          </w:rPr>
          <w:t xml:space="preserve">La Opinión de Murcia (2007) </w:t>
        </w:r>
        <w:r w:rsidRPr="00B80E79">
          <w:rPr>
            <w:rStyle w:val="Hipervnculo"/>
            <w:rFonts w:eastAsiaTheme="minorHAnsi"/>
            <w:i/>
            <w:lang w:eastAsia="en-US"/>
          </w:rPr>
          <w:t>El PP de la Región cree que la Ley estatal del Suelo causará “un aumento de entre el 20-30% en el precio de la vivienda</w:t>
        </w:r>
        <w:r w:rsidRPr="00B80E79">
          <w:rPr>
            <w:rStyle w:val="Hipervnculo"/>
            <w:rFonts w:eastAsiaTheme="minorHAnsi"/>
            <w:lang w:eastAsia="en-US"/>
          </w:rPr>
          <w:t xml:space="preserve">”, Retrieved (October 10) from http://www.laopiniondemurcia.es. </w:t>
        </w:r>
      </w:hyperlink>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Labra, R., &amp; Torrecillas, C. (2014) </w:t>
      </w:r>
      <w:r w:rsidRPr="00B80E79">
        <w:rPr>
          <w:rFonts w:eastAsiaTheme="minorHAnsi"/>
          <w:i/>
          <w:lang w:eastAsia="en-US"/>
        </w:rPr>
        <w:t>Guía Cero para datos de panel. Un enfoque práctico</w:t>
      </w:r>
      <w:r w:rsidRPr="00B80E79">
        <w:rPr>
          <w:rFonts w:eastAsiaTheme="minorHAnsi"/>
          <w:lang w:eastAsia="en-US"/>
        </w:rPr>
        <w:t xml:space="preserve">, </w:t>
      </w:r>
      <w:proofErr w:type="spellStart"/>
      <w:r w:rsidRPr="00B80E79">
        <w:rPr>
          <w:rFonts w:eastAsiaTheme="minorHAnsi"/>
          <w:lang w:eastAsia="en-US"/>
        </w:rPr>
        <w:t>Working</w:t>
      </w:r>
      <w:proofErr w:type="spellEnd"/>
      <w:r w:rsidRPr="00B80E79">
        <w:rPr>
          <w:rFonts w:eastAsiaTheme="minorHAnsi"/>
          <w:lang w:eastAsia="en-US"/>
        </w:rPr>
        <w:t xml:space="preserve"> </w:t>
      </w:r>
      <w:proofErr w:type="spellStart"/>
      <w:r w:rsidRPr="00B80E79">
        <w:rPr>
          <w:rFonts w:eastAsiaTheme="minorHAnsi"/>
          <w:lang w:eastAsia="en-US"/>
        </w:rPr>
        <w:t>Paper</w:t>
      </w:r>
      <w:proofErr w:type="spellEnd"/>
      <w:r w:rsidRPr="00B80E79">
        <w:rPr>
          <w:rFonts w:eastAsiaTheme="minorHAnsi"/>
          <w:lang w:eastAsia="en-US"/>
        </w:rPr>
        <w:t xml:space="preserve"> 2014/16, Universidad Autónoma de Madrid.</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Leal Maldonado, J. (2010) </w:t>
      </w:r>
      <w:r w:rsidRPr="00B80E79">
        <w:rPr>
          <w:rFonts w:eastAsiaTheme="minorHAnsi"/>
          <w:i/>
          <w:lang w:eastAsia="en-US"/>
        </w:rPr>
        <w:t>La política de vivienda en España</w:t>
      </w:r>
      <w:r w:rsidRPr="00B80E79">
        <w:rPr>
          <w:rFonts w:eastAsiaTheme="minorHAnsi"/>
          <w:lang w:eastAsia="en-US"/>
        </w:rPr>
        <w:t xml:space="preserve"> (Madrid: Editorial Pablo Iglesias).</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t>Lerman</w:t>
      </w:r>
      <w:proofErr w:type="spellEnd"/>
      <w:r w:rsidRPr="00B80E79">
        <w:rPr>
          <w:rFonts w:eastAsiaTheme="minorHAnsi"/>
          <w:lang w:val="en-US" w:eastAsia="en-US"/>
        </w:rPr>
        <w:t xml:space="preserve">, B.R. (2006) Mandatory inclusionary zoning-the answer to the affordable housing problem, </w:t>
      </w:r>
      <w:r w:rsidRPr="00B80E79">
        <w:rPr>
          <w:rFonts w:eastAsiaTheme="minorHAnsi"/>
          <w:i/>
          <w:lang w:val="en-US" w:eastAsia="en-US"/>
        </w:rPr>
        <w:t>Boston College Environmental Affairs Law Review</w:t>
      </w:r>
      <w:r w:rsidRPr="00B80E79">
        <w:rPr>
          <w:rFonts w:eastAsiaTheme="minorHAnsi"/>
          <w:lang w:val="en-US" w:eastAsia="en-US"/>
        </w:rPr>
        <w:t>, 33, pp. 352-383.</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t>Litman</w:t>
      </w:r>
      <w:proofErr w:type="spellEnd"/>
      <w:r w:rsidRPr="00B80E79">
        <w:rPr>
          <w:rFonts w:eastAsiaTheme="minorHAnsi"/>
          <w:lang w:val="en-US" w:eastAsia="en-US"/>
        </w:rPr>
        <w:t xml:space="preserve">, T. (2009) </w:t>
      </w:r>
      <w:r w:rsidRPr="00B80E79">
        <w:rPr>
          <w:rFonts w:eastAsiaTheme="minorHAnsi"/>
          <w:i/>
          <w:lang w:val="en-US" w:eastAsia="en-US"/>
        </w:rPr>
        <w:t xml:space="preserve">Parking requirement </w:t>
      </w:r>
      <w:proofErr w:type="gramStart"/>
      <w:r w:rsidRPr="00B80E79">
        <w:rPr>
          <w:rFonts w:eastAsiaTheme="minorHAnsi"/>
          <w:i/>
          <w:lang w:val="en-US" w:eastAsia="en-US"/>
        </w:rPr>
        <w:t>impacts on</w:t>
      </w:r>
      <w:proofErr w:type="gramEnd"/>
      <w:r w:rsidRPr="00B80E79">
        <w:rPr>
          <w:rFonts w:eastAsiaTheme="minorHAnsi"/>
          <w:i/>
          <w:lang w:val="en-US" w:eastAsia="en-US"/>
        </w:rPr>
        <w:t xml:space="preserve"> housing affordability (</w:t>
      </w:r>
      <w:r w:rsidRPr="00B80E79">
        <w:rPr>
          <w:rFonts w:eastAsiaTheme="minorHAnsi"/>
          <w:lang w:val="en-US" w:eastAsia="en-US"/>
        </w:rPr>
        <w:t>Canada: Victoria Transport Policy Institute)</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t>Mulliner</w:t>
      </w:r>
      <w:proofErr w:type="spellEnd"/>
      <w:r w:rsidRPr="00B80E79">
        <w:rPr>
          <w:rFonts w:eastAsiaTheme="minorHAnsi"/>
          <w:lang w:val="en-US" w:eastAsia="en-US"/>
        </w:rPr>
        <w:t xml:space="preserve">, E., </w:t>
      </w:r>
      <w:proofErr w:type="spellStart"/>
      <w:r w:rsidRPr="00B80E79">
        <w:rPr>
          <w:rFonts w:eastAsiaTheme="minorHAnsi"/>
          <w:lang w:val="en-US" w:eastAsia="en-US"/>
        </w:rPr>
        <w:t>Smallbone</w:t>
      </w:r>
      <w:proofErr w:type="spellEnd"/>
      <w:r w:rsidRPr="00B80E79">
        <w:rPr>
          <w:rFonts w:eastAsiaTheme="minorHAnsi"/>
          <w:lang w:val="en-US" w:eastAsia="en-US"/>
        </w:rPr>
        <w:t xml:space="preserve">, K. &amp; </w:t>
      </w:r>
      <w:proofErr w:type="spellStart"/>
      <w:r w:rsidRPr="00B80E79">
        <w:rPr>
          <w:rFonts w:eastAsiaTheme="minorHAnsi"/>
          <w:lang w:val="en-US" w:eastAsia="en-US"/>
        </w:rPr>
        <w:t>Maliene</w:t>
      </w:r>
      <w:proofErr w:type="spellEnd"/>
      <w:r w:rsidRPr="00B80E79">
        <w:rPr>
          <w:rFonts w:eastAsiaTheme="minorHAnsi"/>
          <w:lang w:val="en-US" w:eastAsia="en-US"/>
        </w:rPr>
        <w:t xml:space="preserve">, V. (2013) An assessment of sustainable housing affordability using a multiple criteria decision making method, </w:t>
      </w:r>
      <w:r w:rsidRPr="00B80E79">
        <w:rPr>
          <w:rFonts w:eastAsiaTheme="minorHAnsi"/>
          <w:i/>
          <w:lang w:val="en-US" w:eastAsia="en-US"/>
        </w:rPr>
        <w:t>Omega</w:t>
      </w:r>
      <w:r w:rsidRPr="00B80E79">
        <w:rPr>
          <w:rFonts w:eastAsiaTheme="minorHAnsi"/>
          <w:lang w:val="en-US" w:eastAsia="en-US"/>
        </w:rPr>
        <w:t>, 41(2), pp. 270-279.</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hyperlink r:id="rId18" w:history="1">
        <w:r w:rsidRPr="00B80E79">
          <w:rPr>
            <w:rStyle w:val="Hipervnculo"/>
            <w:rFonts w:eastAsiaTheme="minorHAnsi"/>
            <w:lang w:eastAsia="en-US"/>
          </w:rPr>
          <w:t xml:space="preserve">Navarra Confidencial (2012, December 20) Vuelve el reverso tenebroso de las VPO. </w:t>
        </w:r>
        <w:r w:rsidRPr="00B80E79">
          <w:rPr>
            <w:rStyle w:val="Hipervnculo"/>
            <w:rFonts w:eastAsiaTheme="minorHAnsi"/>
            <w:lang w:val="en-US" w:eastAsia="en-US"/>
          </w:rPr>
          <w:t>Navarraconficencial.com, Retrieved from http://www.navarraconfidencial.com.</w:t>
        </w:r>
      </w:hyperlink>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 xml:space="preserve">Nelson, A.C., </w:t>
      </w:r>
      <w:proofErr w:type="spellStart"/>
      <w:r w:rsidRPr="00B80E79">
        <w:rPr>
          <w:rFonts w:eastAsiaTheme="minorHAnsi"/>
          <w:lang w:val="en-US" w:eastAsia="en-US"/>
        </w:rPr>
        <w:t>Pendall</w:t>
      </w:r>
      <w:proofErr w:type="spellEnd"/>
      <w:r w:rsidRPr="00B80E79">
        <w:rPr>
          <w:rFonts w:eastAsiaTheme="minorHAnsi"/>
          <w:lang w:val="en-US" w:eastAsia="en-US"/>
        </w:rPr>
        <w:t xml:space="preserve">, R., Dawkins, C.J. &amp; </w:t>
      </w:r>
      <w:proofErr w:type="spellStart"/>
      <w:r w:rsidRPr="00B80E79">
        <w:rPr>
          <w:rFonts w:eastAsiaTheme="minorHAnsi"/>
          <w:lang w:val="en-US" w:eastAsia="en-US"/>
        </w:rPr>
        <w:t>Knaap</w:t>
      </w:r>
      <w:proofErr w:type="spellEnd"/>
      <w:r w:rsidRPr="00B80E79">
        <w:rPr>
          <w:rFonts w:eastAsiaTheme="minorHAnsi"/>
          <w:lang w:val="en-US" w:eastAsia="en-US"/>
        </w:rPr>
        <w:t xml:space="preserve">, G.J. (2002) </w:t>
      </w:r>
      <w:proofErr w:type="gramStart"/>
      <w:r w:rsidRPr="00B80E79">
        <w:rPr>
          <w:rFonts w:eastAsiaTheme="minorHAnsi"/>
          <w:lang w:val="en-US" w:eastAsia="en-US"/>
        </w:rPr>
        <w:t>The</w:t>
      </w:r>
      <w:proofErr w:type="gramEnd"/>
      <w:r w:rsidRPr="00B80E79">
        <w:rPr>
          <w:rFonts w:eastAsiaTheme="minorHAnsi"/>
          <w:lang w:val="en-US" w:eastAsia="en-US"/>
        </w:rPr>
        <w:t xml:space="preserve"> link between growth management and housing affordability: The academic evidence. In A. Downs (ed.) </w:t>
      </w:r>
      <w:r w:rsidRPr="00B80E79">
        <w:rPr>
          <w:rFonts w:eastAsiaTheme="minorHAnsi"/>
          <w:i/>
          <w:lang w:val="en-US" w:eastAsia="en-US"/>
        </w:rPr>
        <w:t>Growth management and affordable housing: Do they conflict</w:t>
      </w:r>
      <w:r w:rsidRPr="00B80E79">
        <w:rPr>
          <w:rFonts w:eastAsiaTheme="minorHAnsi"/>
          <w:lang w:val="en-US" w:eastAsia="en-US"/>
        </w:rPr>
        <w:t>, Brookings Institution Press, pp. 117-158.</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 xml:space="preserve">Nguyen, M. T. (2005) </w:t>
      </w:r>
      <w:proofErr w:type="gramStart"/>
      <w:r w:rsidRPr="00B80E79">
        <w:rPr>
          <w:rFonts w:eastAsiaTheme="minorHAnsi"/>
          <w:lang w:val="en-US" w:eastAsia="en-US"/>
        </w:rPr>
        <w:t>Does</w:t>
      </w:r>
      <w:proofErr w:type="gramEnd"/>
      <w:r w:rsidRPr="00B80E79">
        <w:rPr>
          <w:rFonts w:eastAsiaTheme="minorHAnsi"/>
          <w:lang w:val="en-US" w:eastAsia="en-US"/>
        </w:rPr>
        <w:t xml:space="preserve"> affordable housing detrimentally affect property values? A review of the literature, </w:t>
      </w:r>
      <w:r w:rsidRPr="00B80E79">
        <w:rPr>
          <w:rFonts w:eastAsiaTheme="minorHAnsi"/>
          <w:i/>
          <w:lang w:val="en-US" w:eastAsia="en-US"/>
        </w:rPr>
        <w:t>Journal of Planning Literature</w:t>
      </w:r>
      <w:r w:rsidRPr="00B80E79">
        <w:rPr>
          <w:rFonts w:eastAsiaTheme="minorHAnsi"/>
          <w:lang w:val="en-US" w:eastAsia="en-US"/>
        </w:rPr>
        <w:t>, 20(1), pp. 15-26.</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lastRenderedPageBreak/>
        <w:t xml:space="preserve">Nickell, S. (1981) Biases in dynamic models with fixed effects, </w:t>
      </w:r>
      <w:proofErr w:type="spellStart"/>
      <w:r w:rsidRPr="00B80E79">
        <w:rPr>
          <w:rFonts w:eastAsiaTheme="minorHAnsi"/>
          <w:i/>
          <w:lang w:val="en-US" w:eastAsia="en-US"/>
        </w:rPr>
        <w:t>Econometrica</w:t>
      </w:r>
      <w:proofErr w:type="spellEnd"/>
      <w:r w:rsidRPr="00B80E79">
        <w:rPr>
          <w:rFonts w:eastAsiaTheme="minorHAnsi"/>
          <w:lang w:val="en-US" w:eastAsia="en-US"/>
        </w:rPr>
        <w:t xml:space="preserve"> 49, pp. 1417–1426</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r w:rsidRPr="00B80E79">
        <w:rPr>
          <w:rFonts w:eastAsiaTheme="minorHAnsi"/>
          <w:lang w:val="en-US" w:eastAsia="en-US"/>
        </w:rPr>
        <w:t xml:space="preserve">Paris, C. (2007) International perspectives on planning and affordable housing, </w:t>
      </w:r>
      <w:r w:rsidRPr="00B80E79">
        <w:rPr>
          <w:rFonts w:eastAsiaTheme="minorHAnsi"/>
          <w:i/>
          <w:lang w:val="en-US" w:eastAsia="en-US"/>
        </w:rPr>
        <w:t>Housing Studies</w:t>
      </w:r>
      <w:r w:rsidRPr="00B80E79">
        <w:rPr>
          <w:rFonts w:eastAsiaTheme="minorHAnsi"/>
          <w:lang w:val="en-US" w:eastAsia="en-US"/>
        </w:rPr>
        <w:t>, 22(1), pp. 1-9.</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hyperlink r:id="rId19" w:history="1">
        <w:r w:rsidRPr="00B80E79">
          <w:rPr>
            <w:rStyle w:val="Hipervnculo"/>
            <w:rFonts w:eastAsiaTheme="minorHAnsi"/>
            <w:lang w:eastAsia="en-US"/>
          </w:rPr>
          <w:t xml:space="preserve">Roca, J. (2008) </w:t>
        </w:r>
        <w:r w:rsidRPr="00B80E79">
          <w:rPr>
            <w:rStyle w:val="Hipervnculo"/>
            <w:rFonts w:eastAsiaTheme="minorHAnsi"/>
            <w:i/>
            <w:lang w:eastAsia="en-US"/>
          </w:rPr>
          <w:t>Urbanismo y Vivienda</w:t>
        </w:r>
        <w:r w:rsidRPr="00B80E79">
          <w:rPr>
            <w:rStyle w:val="Hipervnculo"/>
            <w:rFonts w:eastAsiaTheme="minorHAnsi"/>
            <w:lang w:eastAsia="en-US"/>
          </w:rPr>
          <w:t xml:space="preserve">. </w:t>
        </w:r>
        <w:r w:rsidRPr="00B80E79">
          <w:rPr>
            <w:rStyle w:val="Hipervnculo"/>
            <w:rFonts w:eastAsiaTheme="minorHAnsi"/>
            <w:lang w:val="en-US" w:eastAsia="en-US"/>
          </w:rPr>
          <w:t>Santiago. Retrieved (September 259 from https://www.researchgate.net.</w:t>
        </w:r>
      </w:hyperlink>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val="en-US" w:eastAsia="en-US"/>
        </w:rPr>
        <w:t xml:space="preserve">Roca, J. (2010). </w:t>
      </w:r>
      <w:r w:rsidRPr="00B80E79">
        <w:rPr>
          <w:rFonts w:eastAsiaTheme="minorHAnsi"/>
          <w:lang w:eastAsia="en-US"/>
        </w:rPr>
        <w:t xml:space="preserve">El marco urbanístico de la política de vivienda, in J. Leal Maldonado, </w:t>
      </w:r>
      <w:r w:rsidRPr="00B80E79">
        <w:rPr>
          <w:rFonts w:eastAsiaTheme="minorHAnsi"/>
          <w:i/>
          <w:lang w:eastAsia="en-US"/>
        </w:rPr>
        <w:t xml:space="preserve">La política de vivienda en España, </w:t>
      </w:r>
      <w:r w:rsidRPr="00B80E79">
        <w:rPr>
          <w:rFonts w:eastAsiaTheme="minorHAnsi"/>
          <w:lang w:eastAsia="en-US"/>
        </w:rPr>
        <w:t xml:space="preserve">pp. 195-236 (Madrid: Editorial Pablo Iglesias). </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Roger, G. (2010) La producción de suelo, in Leal Maldonado In J. Leal Maldonado</w:t>
      </w:r>
      <w:r w:rsidRPr="00B80E79">
        <w:rPr>
          <w:rFonts w:eastAsiaTheme="minorHAnsi"/>
          <w:i/>
          <w:lang w:eastAsia="en-US"/>
        </w:rPr>
        <w:t>, La política de vivienda en España</w:t>
      </w:r>
      <w:r w:rsidRPr="00B80E79">
        <w:rPr>
          <w:rFonts w:eastAsiaTheme="minorHAnsi"/>
          <w:lang w:eastAsia="en-US"/>
        </w:rPr>
        <w:t>, pp. 167-193 (Madrid: Editorial Pablo Iglesias).</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t>Roodman</w:t>
      </w:r>
      <w:proofErr w:type="spellEnd"/>
      <w:r w:rsidRPr="00B80E79">
        <w:rPr>
          <w:rFonts w:eastAsiaTheme="minorHAnsi"/>
          <w:lang w:val="en-US" w:eastAsia="en-US"/>
        </w:rPr>
        <w:t xml:space="preserve">, D. (2009) A note on the theme of too many instruments, </w:t>
      </w:r>
      <w:r w:rsidRPr="00B80E79">
        <w:rPr>
          <w:rFonts w:eastAsiaTheme="minorHAnsi"/>
          <w:i/>
          <w:lang w:val="en-US" w:eastAsia="en-US"/>
        </w:rPr>
        <w:t>Oxford Bulleting of Economics and Statistics</w:t>
      </w:r>
      <w:r w:rsidRPr="00B80E79">
        <w:rPr>
          <w:rFonts w:eastAsiaTheme="minorHAnsi"/>
          <w:lang w:val="en-US" w:eastAsia="en-US"/>
        </w:rPr>
        <w:t>, 71, pp. 135-158.</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t>Tiesdell</w:t>
      </w:r>
      <w:proofErr w:type="spellEnd"/>
      <w:r w:rsidRPr="00B80E79">
        <w:rPr>
          <w:rFonts w:eastAsiaTheme="minorHAnsi"/>
          <w:lang w:val="en-US" w:eastAsia="en-US"/>
        </w:rPr>
        <w:t xml:space="preserve">, S. (2004) Integrating affordable housing within market-rate developments: the design dimension, </w:t>
      </w:r>
      <w:r w:rsidRPr="00B80E79">
        <w:rPr>
          <w:rFonts w:eastAsiaTheme="minorHAnsi"/>
          <w:i/>
          <w:lang w:val="en-US" w:eastAsia="en-US"/>
        </w:rPr>
        <w:t>Environment and Planning B: Planning and Design</w:t>
      </w:r>
      <w:r w:rsidRPr="00B80E79">
        <w:rPr>
          <w:rFonts w:eastAsiaTheme="minorHAnsi"/>
          <w:lang w:val="en-US" w:eastAsia="en-US"/>
        </w:rPr>
        <w:t>, 31(2), pp. 195-212.</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eastAsia="en-US"/>
        </w:rPr>
      </w:pPr>
      <w:r w:rsidRPr="00B80E79">
        <w:rPr>
          <w:rFonts w:eastAsiaTheme="minorHAnsi"/>
          <w:lang w:eastAsia="en-US"/>
        </w:rPr>
        <w:t xml:space="preserve">Trilla, C. (2001) </w:t>
      </w:r>
      <w:r w:rsidRPr="00B80E79">
        <w:rPr>
          <w:rFonts w:eastAsiaTheme="minorHAnsi"/>
          <w:i/>
          <w:lang w:eastAsia="en-US"/>
        </w:rPr>
        <w:t>La política de vivienda en una perspectiva europea comparada</w:t>
      </w:r>
      <w:r w:rsidRPr="00B80E79">
        <w:rPr>
          <w:rFonts w:eastAsiaTheme="minorHAnsi"/>
          <w:lang w:eastAsia="en-US"/>
        </w:rPr>
        <w:t>, Fundación La Caixa, Barcelona.</w:t>
      </w:r>
    </w:p>
    <w:p w:rsidR="00B80E79" w:rsidRPr="00B80E79" w:rsidRDefault="00B80E79" w:rsidP="00B80E79">
      <w:pPr>
        <w:autoSpaceDE w:val="0"/>
        <w:autoSpaceDN w:val="0"/>
        <w:adjustRightInd w:val="0"/>
        <w:spacing w:before="120" w:after="120" w:line="360" w:lineRule="auto"/>
        <w:ind w:left="284" w:hanging="284"/>
        <w:contextualSpacing/>
        <w:jc w:val="both"/>
        <w:rPr>
          <w:rFonts w:eastAsiaTheme="minorHAnsi"/>
          <w:lang w:val="en-US" w:eastAsia="en-US"/>
        </w:rPr>
      </w:pPr>
      <w:proofErr w:type="spellStart"/>
      <w:r w:rsidRPr="00B80E79">
        <w:rPr>
          <w:rFonts w:eastAsiaTheme="minorHAnsi"/>
          <w:lang w:val="en-US" w:eastAsia="en-US"/>
        </w:rPr>
        <w:t>Windmeijer</w:t>
      </w:r>
      <w:proofErr w:type="spellEnd"/>
      <w:r w:rsidRPr="00B80E79">
        <w:rPr>
          <w:rFonts w:eastAsiaTheme="minorHAnsi"/>
          <w:lang w:val="en-US" w:eastAsia="en-US"/>
        </w:rPr>
        <w:t xml:space="preserve">, F. (2005) </w:t>
      </w:r>
      <w:proofErr w:type="gramStart"/>
      <w:r w:rsidRPr="00B80E79">
        <w:rPr>
          <w:rFonts w:eastAsiaTheme="minorHAnsi"/>
          <w:lang w:val="en-US" w:eastAsia="en-US"/>
        </w:rPr>
        <w:t>A</w:t>
      </w:r>
      <w:proofErr w:type="gramEnd"/>
      <w:r w:rsidRPr="00B80E79">
        <w:rPr>
          <w:rFonts w:eastAsiaTheme="minorHAnsi"/>
          <w:lang w:val="en-US" w:eastAsia="en-US"/>
        </w:rPr>
        <w:t xml:space="preserve"> finite sample correction for the variance of linear efficient twostep GMM estimates, </w:t>
      </w:r>
      <w:r w:rsidRPr="00B80E79">
        <w:rPr>
          <w:rFonts w:eastAsiaTheme="minorHAnsi"/>
          <w:i/>
          <w:lang w:val="en-US" w:eastAsia="en-US"/>
        </w:rPr>
        <w:t>Journal of Econometrics</w:t>
      </w:r>
      <w:r w:rsidRPr="00B80E79">
        <w:rPr>
          <w:rFonts w:eastAsiaTheme="minorHAnsi"/>
          <w:lang w:val="en-US" w:eastAsia="en-US"/>
        </w:rPr>
        <w:t>, 126, pp. 25-51.</w:t>
      </w:r>
    </w:p>
    <w:p w:rsidR="00B80E79" w:rsidRPr="00B80E79" w:rsidRDefault="00B80E79" w:rsidP="00B80E79">
      <w:pPr>
        <w:autoSpaceDE w:val="0"/>
        <w:autoSpaceDN w:val="0"/>
        <w:adjustRightInd w:val="0"/>
        <w:spacing w:before="120" w:after="120" w:line="360" w:lineRule="auto"/>
        <w:contextualSpacing/>
        <w:jc w:val="both"/>
        <w:rPr>
          <w:rFonts w:eastAsiaTheme="minorHAnsi"/>
          <w:lang w:val="en-US" w:eastAsia="en-US"/>
        </w:rPr>
      </w:pPr>
    </w:p>
    <w:p w:rsidR="00B80E79" w:rsidRPr="00B80E79" w:rsidRDefault="00B80E79" w:rsidP="00B80E79">
      <w:pPr>
        <w:keepNext/>
        <w:autoSpaceDE w:val="0"/>
        <w:autoSpaceDN w:val="0"/>
        <w:adjustRightInd w:val="0"/>
        <w:spacing w:before="120" w:after="120" w:line="360" w:lineRule="auto"/>
        <w:contextualSpacing/>
        <w:jc w:val="both"/>
        <w:rPr>
          <w:rFonts w:eastAsiaTheme="minorHAnsi"/>
          <w:b/>
          <w:lang w:val="en-US" w:eastAsia="en-US"/>
        </w:rPr>
      </w:pPr>
      <w:proofErr w:type="spellStart"/>
      <w:r w:rsidRPr="00B80E79">
        <w:rPr>
          <w:rFonts w:eastAsiaTheme="minorHAnsi"/>
          <w:b/>
          <w:lang w:val="en-US" w:eastAsia="en-US"/>
        </w:rPr>
        <w:t>Apendix</w:t>
      </w:r>
      <w:proofErr w:type="spellEnd"/>
    </w:p>
    <w:p w:rsidR="00B80E79" w:rsidRDefault="00B80E79" w:rsidP="00B80E79">
      <w:pPr>
        <w:keepNext/>
        <w:autoSpaceDE w:val="0"/>
        <w:autoSpaceDN w:val="0"/>
        <w:adjustRightInd w:val="0"/>
        <w:spacing w:before="120" w:after="120" w:line="480" w:lineRule="auto"/>
        <w:jc w:val="center"/>
        <w:rPr>
          <w:rFonts w:eastAsiaTheme="minorHAnsi"/>
          <w:sz w:val="22"/>
          <w:szCs w:val="22"/>
          <w:lang w:val="en-US" w:eastAsia="en-US"/>
        </w:rPr>
      </w:pPr>
      <w:r>
        <w:rPr>
          <w:rFonts w:eastAsiaTheme="minorHAnsi"/>
          <w:sz w:val="22"/>
          <w:szCs w:val="22"/>
          <w:lang w:val="en-US" w:eastAsia="en-US"/>
        </w:rPr>
        <w:t xml:space="preserve">Table A1. </w:t>
      </w:r>
      <w:r>
        <w:rPr>
          <w:sz w:val="22"/>
          <w:szCs w:val="22"/>
          <w:lang w:val="en-US"/>
        </w:rPr>
        <w:t>Testing if the real housing prices depend on the expected future values of the ratio of affordable dwelling</w:t>
      </w:r>
    </w:p>
    <w:tbl>
      <w:tblPr>
        <w:tblStyle w:val="Tablaconcuadrcula"/>
        <w:tblW w:w="2826" w:type="pct"/>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660"/>
        <w:gridCol w:w="1108"/>
        <w:gridCol w:w="1161"/>
      </w:tblGrid>
      <w:tr w:rsidR="00B80E79" w:rsidRPr="00B80E79" w:rsidTr="00B95B72">
        <w:trPr>
          <w:jc w:val="center"/>
        </w:trPr>
        <w:tc>
          <w:tcPr>
            <w:tcW w:w="5000" w:type="pct"/>
            <w:gridSpan w:val="3"/>
            <w:tcBorders>
              <w:bottom w:val="nil"/>
            </w:tcBorders>
          </w:tcPr>
          <w:p w:rsidR="00B80E79" w:rsidRDefault="00B80E79" w:rsidP="00B95B72">
            <w:pPr>
              <w:keepNext/>
              <w:autoSpaceDE w:val="0"/>
              <w:autoSpaceDN w:val="0"/>
              <w:adjustRightInd w:val="0"/>
              <w:jc w:val="both"/>
              <w:rPr>
                <w:sz w:val="18"/>
                <w:szCs w:val="18"/>
                <w:lang w:val="en-US"/>
              </w:rPr>
            </w:pPr>
            <w:r>
              <w:rPr>
                <w:sz w:val="18"/>
                <w:szCs w:val="18"/>
                <w:lang w:val="en-US"/>
              </w:rPr>
              <w:t>Dependent variable: Real housing prices (log)</w:t>
            </w:r>
          </w:p>
        </w:tc>
      </w:tr>
      <w:tr w:rsidR="00B80E79" w:rsidRPr="00CA75B1" w:rsidTr="00B95B72">
        <w:trPr>
          <w:jc w:val="center"/>
        </w:trPr>
        <w:tc>
          <w:tcPr>
            <w:tcW w:w="2698" w:type="pct"/>
          </w:tcPr>
          <w:p w:rsidR="00B80E79" w:rsidRPr="00CA75B1" w:rsidRDefault="00B80E79" w:rsidP="00B95B72">
            <w:pPr>
              <w:keepNext/>
              <w:autoSpaceDE w:val="0"/>
              <w:autoSpaceDN w:val="0"/>
              <w:adjustRightInd w:val="0"/>
              <w:jc w:val="both"/>
              <w:rPr>
                <w:sz w:val="18"/>
                <w:szCs w:val="18"/>
                <w:lang w:val="en-US"/>
              </w:rPr>
            </w:pPr>
            <w:r w:rsidRPr="00CA75B1">
              <w:rPr>
                <w:sz w:val="18"/>
                <w:szCs w:val="18"/>
                <w:lang w:val="en-US"/>
              </w:rPr>
              <w:t xml:space="preserve">Ratio </w:t>
            </w:r>
            <w:r>
              <w:rPr>
                <w:sz w:val="18"/>
                <w:szCs w:val="18"/>
                <w:lang w:val="en-US"/>
              </w:rPr>
              <w:t>affordable</w:t>
            </w:r>
            <w:r w:rsidRPr="00CA75B1">
              <w:rPr>
                <w:sz w:val="18"/>
                <w:szCs w:val="18"/>
                <w:lang w:val="en-US"/>
              </w:rPr>
              <w:t xml:space="preserve"> dwelling</w:t>
            </w:r>
          </w:p>
        </w:tc>
        <w:tc>
          <w:tcPr>
            <w:tcW w:w="1124" w:type="pct"/>
          </w:tcPr>
          <w:p w:rsidR="00B80E79" w:rsidRDefault="00B80E79" w:rsidP="00B95B72">
            <w:pPr>
              <w:keepNext/>
              <w:autoSpaceDE w:val="0"/>
              <w:autoSpaceDN w:val="0"/>
              <w:adjustRightInd w:val="0"/>
              <w:jc w:val="right"/>
              <w:rPr>
                <w:sz w:val="18"/>
                <w:szCs w:val="18"/>
                <w:lang w:val="en-US"/>
              </w:rPr>
            </w:pPr>
            <w:r>
              <w:rPr>
                <w:sz w:val="18"/>
                <w:szCs w:val="18"/>
                <w:lang w:val="en-US"/>
              </w:rPr>
              <w:t>-.339</w:t>
            </w:r>
          </w:p>
          <w:p w:rsidR="00B80E79" w:rsidRPr="00CA75B1" w:rsidRDefault="00B80E79" w:rsidP="00B95B72">
            <w:pPr>
              <w:keepNext/>
              <w:autoSpaceDE w:val="0"/>
              <w:autoSpaceDN w:val="0"/>
              <w:adjustRightInd w:val="0"/>
              <w:jc w:val="right"/>
              <w:rPr>
                <w:sz w:val="18"/>
                <w:szCs w:val="18"/>
                <w:lang w:val="en-US"/>
              </w:rPr>
            </w:pPr>
            <w:r>
              <w:rPr>
                <w:sz w:val="18"/>
                <w:szCs w:val="18"/>
                <w:lang w:val="en-US"/>
              </w:rPr>
              <w:t>(.098)</w:t>
            </w:r>
          </w:p>
        </w:tc>
        <w:tc>
          <w:tcPr>
            <w:tcW w:w="1178" w:type="pct"/>
          </w:tcPr>
          <w:p w:rsidR="00B80E79" w:rsidRPr="00CA75B1" w:rsidRDefault="00B80E79" w:rsidP="00B95B72">
            <w:pPr>
              <w:keepNext/>
              <w:autoSpaceDE w:val="0"/>
              <w:autoSpaceDN w:val="0"/>
              <w:adjustRightInd w:val="0"/>
              <w:rPr>
                <w:sz w:val="18"/>
                <w:szCs w:val="18"/>
                <w:lang w:val="en-US"/>
              </w:rPr>
            </w:pPr>
            <w:r>
              <w:rPr>
                <w:sz w:val="18"/>
                <w:szCs w:val="18"/>
                <w:lang w:val="en-US"/>
              </w:rPr>
              <w:t>***</w:t>
            </w:r>
          </w:p>
        </w:tc>
      </w:tr>
      <w:tr w:rsidR="00B80E79" w:rsidRPr="00CA75B1" w:rsidTr="00B95B72">
        <w:trPr>
          <w:jc w:val="center"/>
        </w:trPr>
        <w:tc>
          <w:tcPr>
            <w:tcW w:w="2698" w:type="pct"/>
          </w:tcPr>
          <w:p w:rsidR="00B80E79" w:rsidRPr="00771EE9" w:rsidRDefault="00B80E79" w:rsidP="00B95B72">
            <w:pPr>
              <w:keepNext/>
              <w:autoSpaceDE w:val="0"/>
              <w:autoSpaceDN w:val="0"/>
              <w:adjustRightInd w:val="0"/>
              <w:jc w:val="both"/>
              <w:rPr>
                <w:b/>
                <w:sz w:val="18"/>
                <w:szCs w:val="18"/>
                <w:lang w:val="en-US"/>
              </w:rPr>
            </w:pPr>
            <w:r w:rsidRPr="00771EE9">
              <w:rPr>
                <w:b/>
                <w:sz w:val="18"/>
                <w:szCs w:val="18"/>
                <w:lang w:val="en-US"/>
              </w:rPr>
              <w:t xml:space="preserve">Ratio </w:t>
            </w:r>
            <w:r>
              <w:rPr>
                <w:b/>
                <w:sz w:val="18"/>
                <w:szCs w:val="18"/>
                <w:lang w:val="en-US"/>
              </w:rPr>
              <w:t>affordable</w:t>
            </w:r>
            <w:r w:rsidRPr="00771EE9">
              <w:rPr>
                <w:b/>
                <w:sz w:val="18"/>
                <w:szCs w:val="18"/>
                <w:lang w:val="en-US"/>
              </w:rPr>
              <w:t xml:space="preserve"> dwelling (lead</w:t>
            </w:r>
            <w:r>
              <w:rPr>
                <w:b/>
                <w:sz w:val="18"/>
                <w:szCs w:val="18"/>
                <w:lang w:val="en-US"/>
              </w:rPr>
              <w:t xml:space="preserve"> of</w:t>
            </w:r>
            <w:r w:rsidRPr="00771EE9">
              <w:rPr>
                <w:b/>
                <w:sz w:val="18"/>
                <w:szCs w:val="18"/>
                <w:lang w:val="en-US"/>
              </w:rPr>
              <w:t>)</w:t>
            </w:r>
          </w:p>
        </w:tc>
        <w:tc>
          <w:tcPr>
            <w:tcW w:w="1124" w:type="pct"/>
          </w:tcPr>
          <w:p w:rsidR="00B80E79" w:rsidRPr="00771EE9" w:rsidRDefault="00B80E79" w:rsidP="00B95B72">
            <w:pPr>
              <w:keepNext/>
              <w:autoSpaceDE w:val="0"/>
              <w:autoSpaceDN w:val="0"/>
              <w:adjustRightInd w:val="0"/>
              <w:jc w:val="right"/>
              <w:rPr>
                <w:b/>
                <w:sz w:val="18"/>
                <w:szCs w:val="18"/>
                <w:lang w:val="en-US"/>
              </w:rPr>
            </w:pPr>
            <w:r w:rsidRPr="00771EE9">
              <w:rPr>
                <w:b/>
                <w:sz w:val="18"/>
                <w:szCs w:val="18"/>
                <w:lang w:val="en-US"/>
              </w:rPr>
              <w:t>-.015</w:t>
            </w:r>
          </w:p>
          <w:p w:rsidR="00B80E79" w:rsidRPr="00771EE9" w:rsidRDefault="00B80E79" w:rsidP="00B95B72">
            <w:pPr>
              <w:keepNext/>
              <w:autoSpaceDE w:val="0"/>
              <w:autoSpaceDN w:val="0"/>
              <w:adjustRightInd w:val="0"/>
              <w:jc w:val="right"/>
              <w:rPr>
                <w:b/>
                <w:sz w:val="18"/>
                <w:szCs w:val="18"/>
                <w:lang w:val="en-US"/>
              </w:rPr>
            </w:pPr>
            <w:r w:rsidRPr="00771EE9">
              <w:rPr>
                <w:b/>
                <w:sz w:val="18"/>
                <w:szCs w:val="18"/>
                <w:lang w:val="en-US"/>
              </w:rPr>
              <w:t>(.019)</w:t>
            </w:r>
          </w:p>
        </w:tc>
        <w:tc>
          <w:tcPr>
            <w:tcW w:w="1178" w:type="pct"/>
          </w:tcPr>
          <w:p w:rsidR="00B80E79" w:rsidRPr="00CA75B1" w:rsidRDefault="00B80E79" w:rsidP="00B95B72">
            <w:pPr>
              <w:keepNext/>
              <w:autoSpaceDE w:val="0"/>
              <w:autoSpaceDN w:val="0"/>
              <w:adjustRightInd w:val="0"/>
              <w:rPr>
                <w:sz w:val="18"/>
                <w:szCs w:val="18"/>
                <w:lang w:val="en-US"/>
              </w:rPr>
            </w:pPr>
          </w:p>
        </w:tc>
      </w:tr>
      <w:tr w:rsidR="00B80E79" w:rsidRPr="00CA75B1" w:rsidTr="00B95B72">
        <w:trPr>
          <w:jc w:val="center"/>
        </w:trPr>
        <w:tc>
          <w:tcPr>
            <w:tcW w:w="2698" w:type="pct"/>
          </w:tcPr>
          <w:p w:rsidR="00B80E79" w:rsidRPr="00CA75B1" w:rsidRDefault="00B80E79" w:rsidP="00B95B72">
            <w:pPr>
              <w:keepNext/>
              <w:autoSpaceDE w:val="0"/>
              <w:autoSpaceDN w:val="0"/>
              <w:adjustRightInd w:val="0"/>
              <w:jc w:val="both"/>
              <w:rPr>
                <w:sz w:val="18"/>
                <w:szCs w:val="18"/>
                <w:lang w:val="en-US"/>
              </w:rPr>
            </w:pPr>
          </w:p>
        </w:tc>
        <w:tc>
          <w:tcPr>
            <w:tcW w:w="1124" w:type="pct"/>
          </w:tcPr>
          <w:p w:rsidR="00B80E79" w:rsidRPr="00CA75B1" w:rsidRDefault="00B80E79" w:rsidP="00B95B72">
            <w:pPr>
              <w:keepNext/>
              <w:autoSpaceDE w:val="0"/>
              <w:autoSpaceDN w:val="0"/>
              <w:adjustRightInd w:val="0"/>
              <w:jc w:val="right"/>
              <w:rPr>
                <w:sz w:val="18"/>
                <w:szCs w:val="18"/>
                <w:lang w:val="en-US"/>
              </w:rPr>
            </w:pPr>
          </w:p>
        </w:tc>
        <w:tc>
          <w:tcPr>
            <w:tcW w:w="1178" w:type="pct"/>
          </w:tcPr>
          <w:p w:rsidR="00B80E79" w:rsidRPr="00CA75B1" w:rsidRDefault="00B80E79" w:rsidP="00B95B72">
            <w:pPr>
              <w:keepNext/>
              <w:autoSpaceDE w:val="0"/>
              <w:autoSpaceDN w:val="0"/>
              <w:adjustRightInd w:val="0"/>
              <w:rPr>
                <w:sz w:val="18"/>
                <w:szCs w:val="18"/>
                <w:lang w:val="en-US"/>
              </w:rPr>
            </w:pPr>
          </w:p>
        </w:tc>
      </w:tr>
      <w:tr w:rsidR="00B80E79" w:rsidRPr="00CA75B1" w:rsidTr="00B95B72">
        <w:trPr>
          <w:jc w:val="center"/>
        </w:trPr>
        <w:tc>
          <w:tcPr>
            <w:tcW w:w="2698" w:type="pct"/>
          </w:tcPr>
          <w:p w:rsidR="00B80E79" w:rsidRPr="00CA75B1" w:rsidRDefault="00B80E79" w:rsidP="00B95B72">
            <w:pPr>
              <w:keepNext/>
              <w:autoSpaceDE w:val="0"/>
              <w:autoSpaceDN w:val="0"/>
              <w:adjustRightInd w:val="0"/>
              <w:rPr>
                <w:sz w:val="18"/>
                <w:szCs w:val="18"/>
                <w:lang w:val="en-US"/>
              </w:rPr>
            </w:pPr>
            <w:r>
              <w:rPr>
                <w:sz w:val="18"/>
                <w:szCs w:val="18"/>
                <w:lang w:val="en-US"/>
              </w:rPr>
              <w:t>Covariates</w:t>
            </w:r>
          </w:p>
        </w:tc>
        <w:tc>
          <w:tcPr>
            <w:tcW w:w="1124" w:type="pct"/>
          </w:tcPr>
          <w:p w:rsidR="00B80E79" w:rsidRDefault="00B80E79" w:rsidP="00B95B72">
            <w:pPr>
              <w:keepNext/>
              <w:autoSpaceDE w:val="0"/>
              <w:autoSpaceDN w:val="0"/>
              <w:adjustRightInd w:val="0"/>
              <w:jc w:val="right"/>
              <w:rPr>
                <w:sz w:val="18"/>
                <w:szCs w:val="18"/>
                <w:lang w:val="en-US"/>
              </w:rPr>
            </w:pPr>
            <w:r>
              <w:rPr>
                <w:sz w:val="18"/>
                <w:szCs w:val="18"/>
                <w:lang w:val="en-US"/>
              </w:rPr>
              <w:t>Yes</w:t>
            </w:r>
          </w:p>
        </w:tc>
        <w:tc>
          <w:tcPr>
            <w:tcW w:w="1178" w:type="pct"/>
          </w:tcPr>
          <w:p w:rsidR="00B80E79" w:rsidRPr="00CA75B1" w:rsidRDefault="00B80E79" w:rsidP="00B95B72">
            <w:pPr>
              <w:keepNext/>
              <w:autoSpaceDE w:val="0"/>
              <w:autoSpaceDN w:val="0"/>
              <w:adjustRightInd w:val="0"/>
              <w:rPr>
                <w:sz w:val="18"/>
                <w:szCs w:val="18"/>
                <w:lang w:val="en-US"/>
              </w:rPr>
            </w:pPr>
          </w:p>
        </w:tc>
      </w:tr>
      <w:tr w:rsidR="00B80E79" w:rsidRPr="00CA75B1" w:rsidTr="00B95B72">
        <w:trPr>
          <w:jc w:val="center"/>
        </w:trPr>
        <w:tc>
          <w:tcPr>
            <w:tcW w:w="2698" w:type="pct"/>
          </w:tcPr>
          <w:p w:rsidR="00B80E79" w:rsidRPr="00CA75B1" w:rsidRDefault="00B80E79" w:rsidP="00B95B72">
            <w:pPr>
              <w:keepNext/>
              <w:autoSpaceDE w:val="0"/>
              <w:autoSpaceDN w:val="0"/>
              <w:adjustRightInd w:val="0"/>
              <w:rPr>
                <w:sz w:val="18"/>
                <w:szCs w:val="18"/>
                <w:lang w:val="en-US"/>
              </w:rPr>
            </w:pPr>
            <w:r>
              <w:rPr>
                <w:sz w:val="18"/>
                <w:szCs w:val="18"/>
                <w:lang w:val="en-US"/>
              </w:rPr>
              <w:t>R</w:t>
            </w:r>
            <w:r w:rsidRPr="00771EE9">
              <w:rPr>
                <w:sz w:val="18"/>
                <w:szCs w:val="18"/>
                <w:vertAlign w:val="superscript"/>
                <w:lang w:val="en-US"/>
              </w:rPr>
              <w:t>2</w:t>
            </w:r>
          </w:p>
        </w:tc>
        <w:tc>
          <w:tcPr>
            <w:tcW w:w="1124" w:type="pct"/>
          </w:tcPr>
          <w:p w:rsidR="00B80E79" w:rsidRDefault="00B80E79" w:rsidP="00B95B72">
            <w:pPr>
              <w:keepNext/>
              <w:autoSpaceDE w:val="0"/>
              <w:autoSpaceDN w:val="0"/>
              <w:adjustRightInd w:val="0"/>
              <w:jc w:val="right"/>
              <w:rPr>
                <w:sz w:val="18"/>
                <w:szCs w:val="18"/>
                <w:lang w:val="en-US"/>
              </w:rPr>
            </w:pPr>
            <w:r>
              <w:rPr>
                <w:sz w:val="18"/>
                <w:szCs w:val="18"/>
                <w:lang w:val="en-US"/>
              </w:rPr>
              <w:t>.3958</w:t>
            </w:r>
          </w:p>
        </w:tc>
        <w:tc>
          <w:tcPr>
            <w:tcW w:w="1178" w:type="pct"/>
          </w:tcPr>
          <w:p w:rsidR="00B80E79" w:rsidRPr="00CA75B1" w:rsidRDefault="00B80E79" w:rsidP="00B95B72">
            <w:pPr>
              <w:keepNext/>
              <w:autoSpaceDE w:val="0"/>
              <w:autoSpaceDN w:val="0"/>
              <w:adjustRightInd w:val="0"/>
              <w:rPr>
                <w:sz w:val="18"/>
                <w:szCs w:val="18"/>
                <w:lang w:val="en-US"/>
              </w:rPr>
            </w:pPr>
          </w:p>
        </w:tc>
      </w:tr>
      <w:tr w:rsidR="00B80E79" w:rsidRPr="00CA75B1" w:rsidTr="00B95B72">
        <w:trPr>
          <w:jc w:val="center"/>
        </w:trPr>
        <w:tc>
          <w:tcPr>
            <w:tcW w:w="2698" w:type="pct"/>
          </w:tcPr>
          <w:p w:rsidR="00B80E79" w:rsidRPr="00CA75B1" w:rsidRDefault="00B80E79" w:rsidP="00B95B72">
            <w:pPr>
              <w:keepNext/>
              <w:autoSpaceDE w:val="0"/>
              <w:autoSpaceDN w:val="0"/>
              <w:adjustRightInd w:val="0"/>
              <w:rPr>
                <w:sz w:val="18"/>
                <w:szCs w:val="18"/>
                <w:lang w:val="en-US"/>
              </w:rPr>
            </w:pPr>
            <w:r>
              <w:rPr>
                <w:sz w:val="18"/>
                <w:szCs w:val="18"/>
                <w:lang w:val="en-US"/>
              </w:rPr>
              <w:t>N</w:t>
            </w:r>
          </w:p>
        </w:tc>
        <w:tc>
          <w:tcPr>
            <w:tcW w:w="1124" w:type="pct"/>
          </w:tcPr>
          <w:p w:rsidR="00B80E79" w:rsidRDefault="00B80E79" w:rsidP="00B95B72">
            <w:pPr>
              <w:keepNext/>
              <w:autoSpaceDE w:val="0"/>
              <w:autoSpaceDN w:val="0"/>
              <w:adjustRightInd w:val="0"/>
              <w:jc w:val="right"/>
              <w:rPr>
                <w:sz w:val="18"/>
                <w:szCs w:val="18"/>
                <w:lang w:val="en-US"/>
              </w:rPr>
            </w:pPr>
            <w:r>
              <w:rPr>
                <w:sz w:val="18"/>
                <w:szCs w:val="18"/>
                <w:lang w:val="en-US"/>
              </w:rPr>
              <w:t>700</w:t>
            </w:r>
          </w:p>
        </w:tc>
        <w:tc>
          <w:tcPr>
            <w:tcW w:w="1178" w:type="pct"/>
          </w:tcPr>
          <w:p w:rsidR="00B80E79" w:rsidRPr="00CA75B1" w:rsidRDefault="00B80E79" w:rsidP="00B95B72">
            <w:pPr>
              <w:keepNext/>
              <w:autoSpaceDE w:val="0"/>
              <w:autoSpaceDN w:val="0"/>
              <w:adjustRightInd w:val="0"/>
              <w:rPr>
                <w:sz w:val="18"/>
                <w:szCs w:val="18"/>
                <w:lang w:val="en-US"/>
              </w:rPr>
            </w:pPr>
          </w:p>
        </w:tc>
      </w:tr>
      <w:tr w:rsidR="00B80E79" w:rsidRPr="00CA75B1" w:rsidTr="00B95B72">
        <w:trPr>
          <w:jc w:val="center"/>
        </w:trPr>
        <w:tc>
          <w:tcPr>
            <w:tcW w:w="2698" w:type="pct"/>
          </w:tcPr>
          <w:p w:rsidR="00B80E79" w:rsidRDefault="00B80E79" w:rsidP="00B95B72">
            <w:pPr>
              <w:keepNext/>
              <w:autoSpaceDE w:val="0"/>
              <w:autoSpaceDN w:val="0"/>
              <w:adjustRightInd w:val="0"/>
              <w:rPr>
                <w:sz w:val="18"/>
                <w:szCs w:val="18"/>
                <w:lang w:val="en-US"/>
              </w:rPr>
            </w:pPr>
            <w:r>
              <w:rPr>
                <w:sz w:val="18"/>
                <w:szCs w:val="18"/>
                <w:lang w:val="en-US"/>
              </w:rPr>
              <w:t>Rho</w:t>
            </w:r>
          </w:p>
        </w:tc>
        <w:tc>
          <w:tcPr>
            <w:tcW w:w="1124" w:type="pct"/>
          </w:tcPr>
          <w:p w:rsidR="00B80E79" w:rsidRDefault="00B80E79" w:rsidP="00B95B72">
            <w:pPr>
              <w:keepNext/>
              <w:autoSpaceDE w:val="0"/>
              <w:autoSpaceDN w:val="0"/>
              <w:adjustRightInd w:val="0"/>
              <w:jc w:val="right"/>
              <w:rPr>
                <w:sz w:val="18"/>
                <w:szCs w:val="18"/>
                <w:lang w:val="en-US"/>
              </w:rPr>
            </w:pPr>
            <w:r>
              <w:rPr>
                <w:sz w:val="18"/>
                <w:szCs w:val="18"/>
                <w:lang w:val="en-US"/>
              </w:rPr>
              <w:t>.807</w:t>
            </w:r>
          </w:p>
        </w:tc>
        <w:tc>
          <w:tcPr>
            <w:tcW w:w="1178" w:type="pct"/>
          </w:tcPr>
          <w:p w:rsidR="00B80E79" w:rsidRPr="00CA75B1" w:rsidRDefault="00B80E79" w:rsidP="00B95B72">
            <w:pPr>
              <w:keepNext/>
              <w:autoSpaceDE w:val="0"/>
              <w:autoSpaceDN w:val="0"/>
              <w:adjustRightInd w:val="0"/>
              <w:rPr>
                <w:sz w:val="18"/>
                <w:szCs w:val="18"/>
                <w:lang w:val="en-US"/>
              </w:rPr>
            </w:pPr>
          </w:p>
        </w:tc>
      </w:tr>
    </w:tbl>
    <w:p w:rsidR="00B80E79" w:rsidRPr="007A5339" w:rsidRDefault="00B80E79" w:rsidP="00B80E79">
      <w:pPr>
        <w:keepNext/>
        <w:rPr>
          <w:rFonts w:eastAsiaTheme="minorHAnsi"/>
          <w:color w:val="231F20"/>
          <w:sz w:val="18"/>
          <w:szCs w:val="22"/>
          <w:lang w:val="en-US" w:eastAsia="en-US"/>
        </w:rPr>
      </w:pPr>
      <w:r w:rsidRPr="007A5339">
        <w:rPr>
          <w:rFonts w:eastAsiaTheme="minorHAnsi"/>
          <w:color w:val="231F20"/>
          <w:sz w:val="18"/>
          <w:szCs w:val="22"/>
          <w:lang w:val="en-US" w:eastAsia="en-US"/>
        </w:rPr>
        <w:t>Province cluster robust standard errors in parenthesis</w:t>
      </w:r>
      <w:r>
        <w:rPr>
          <w:rFonts w:eastAsiaTheme="minorHAnsi"/>
          <w:color w:val="231F20"/>
          <w:sz w:val="18"/>
          <w:szCs w:val="22"/>
          <w:lang w:val="en-US" w:eastAsia="en-US"/>
        </w:rPr>
        <w:t xml:space="preserve"> </w:t>
      </w:r>
    </w:p>
    <w:p w:rsidR="00B80E79" w:rsidRDefault="00B80E79" w:rsidP="00B80E79">
      <w:pPr>
        <w:autoSpaceDE w:val="0"/>
        <w:autoSpaceDN w:val="0"/>
        <w:adjustRightInd w:val="0"/>
        <w:spacing w:before="120" w:after="120" w:line="360" w:lineRule="auto"/>
        <w:jc w:val="both"/>
        <w:rPr>
          <w:rFonts w:eastAsiaTheme="minorHAnsi"/>
          <w:sz w:val="22"/>
          <w:szCs w:val="22"/>
          <w:lang w:val="en-US" w:eastAsia="en-US"/>
        </w:rPr>
      </w:pPr>
    </w:p>
    <w:p w:rsidR="00B80E79" w:rsidRDefault="00B80E79" w:rsidP="00B80E79">
      <w:pPr>
        <w:keepNext/>
        <w:autoSpaceDE w:val="0"/>
        <w:autoSpaceDN w:val="0"/>
        <w:adjustRightInd w:val="0"/>
        <w:spacing w:before="120" w:after="120" w:line="360" w:lineRule="auto"/>
        <w:jc w:val="center"/>
        <w:rPr>
          <w:rFonts w:eastAsiaTheme="minorHAnsi"/>
          <w:sz w:val="22"/>
          <w:szCs w:val="22"/>
          <w:lang w:val="en-US" w:eastAsia="en-US"/>
        </w:rPr>
      </w:pPr>
      <w:r>
        <w:rPr>
          <w:rFonts w:eastAsiaTheme="minorHAnsi"/>
          <w:sz w:val="22"/>
          <w:szCs w:val="22"/>
          <w:lang w:val="en-US" w:eastAsia="en-US"/>
        </w:rPr>
        <w:lastRenderedPageBreak/>
        <w:t xml:space="preserve">Table A2. </w:t>
      </w:r>
      <w:r>
        <w:rPr>
          <w:sz w:val="22"/>
          <w:szCs w:val="22"/>
          <w:lang w:val="en-US"/>
        </w:rPr>
        <w:t>Testing if the ratio of affordable dwellings depend on the past values of the real housing prices</w:t>
      </w:r>
    </w:p>
    <w:tbl>
      <w:tblPr>
        <w:tblStyle w:val="Tablaconcuadrcula"/>
        <w:tblW w:w="2826" w:type="pct"/>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660"/>
        <w:gridCol w:w="1108"/>
        <w:gridCol w:w="1161"/>
      </w:tblGrid>
      <w:tr w:rsidR="00B80E79" w:rsidRPr="00B80E79" w:rsidTr="00B95B72">
        <w:trPr>
          <w:jc w:val="center"/>
        </w:trPr>
        <w:tc>
          <w:tcPr>
            <w:tcW w:w="5000" w:type="pct"/>
            <w:gridSpan w:val="3"/>
            <w:tcBorders>
              <w:bottom w:val="nil"/>
            </w:tcBorders>
          </w:tcPr>
          <w:p w:rsidR="00B80E79" w:rsidRDefault="00B80E79" w:rsidP="00B95B72">
            <w:pPr>
              <w:keepNext/>
              <w:autoSpaceDE w:val="0"/>
              <w:autoSpaceDN w:val="0"/>
              <w:adjustRightInd w:val="0"/>
              <w:jc w:val="both"/>
              <w:rPr>
                <w:sz w:val="18"/>
                <w:szCs w:val="18"/>
                <w:lang w:val="en-US"/>
              </w:rPr>
            </w:pPr>
            <w:r>
              <w:rPr>
                <w:sz w:val="18"/>
                <w:szCs w:val="18"/>
                <w:lang w:val="en-US"/>
              </w:rPr>
              <w:t xml:space="preserve">Dependent variable: </w:t>
            </w:r>
            <w:r w:rsidRPr="00CA75B1">
              <w:rPr>
                <w:sz w:val="18"/>
                <w:szCs w:val="18"/>
                <w:lang w:val="en-US"/>
              </w:rPr>
              <w:t xml:space="preserve">Ratio </w:t>
            </w:r>
            <w:r>
              <w:rPr>
                <w:sz w:val="18"/>
                <w:szCs w:val="18"/>
                <w:lang w:val="en-US"/>
              </w:rPr>
              <w:t>affordable</w:t>
            </w:r>
            <w:r w:rsidRPr="00CA75B1">
              <w:rPr>
                <w:sz w:val="18"/>
                <w:szCs w:val="18"/>
                <w:lang w:val="en-US"/>
              </w:rPr>
              <w:t xml:space="preserve"> dwelling</w:t>
            </w:r>
          </w:p>
        </w:tc>
      </w:tr>
      <w:tr w:rsidR="00B80E79" w:rsidRPr="00CA75B1" w:rsidTr="00B95B72">
        <w:trPr>
          <w:jc w:val="center"/>
        </w:trPr>
        <w:tc>
          <w:tcPr>
            <w:tcW w:w="2698" w:type="pct"/>
          </w:tcPr>
          <w:p w:rsidR="00B80E79" w:rsidRPr="00771EE9" w:rsidRDefault="00B80E79" w:rsidP="00B95B72">
            <w:pPr>
              <w:keepNext/>
              <w:autoSpaceDE w:val="0"/>
              <w:autoSpaceDN w:val="0"/>
              <w:adjustRightInd w:val="0"/>
              <w:jc w:val="both"/>
              <w:rPr>
                <w:b/>
                <w:sz w:val="18"/>
                <w:szCs w:val="18"/>
                <w:lang w:val="en-US"/>
              </w:rPr>
            </w:pPr>
            <w:r w:rsidRPr="00771EE9">
              <w:rPr>
                <w:b/>
                <w:sz w:val="18"/>
                <w:szCs w:val="18"/>
                <w:lang w:val="en-US"/>
              </w:rPr>
              <w:t>Real housing prices(lag</w:t>
            </w:r>
            <w:r>
              <w:rPr>
                <w:b/>
                <w:sz w:val="18"/>
                <w:szCs w:val="18"/>
                <w:lang w:val="en-US"/>
              </w:rPr>
              <w:t xml:space="preserve"> of</w:t>
            </w:r>
            <w:r w:rsidRPr="00771EE9">
              <w:rPr>
                <w:b/>
                <w:sz w:val="18"/>
                <w:szCs w:val="18"/>
                <w:lang w:val="en-US"/>
              </w:rPr>
              <w:t>)</w:t>
            </w:r>
          </w:p>
        </w:tc>
        <w:tc>
          <w:tcPr>
            <w:tcW w:w="1124" w:type="pct"/>
          </w:tcPr>
          <w:p w:rsidR="00B80E79" w:rsidRDefault="00B80E79" w:rsidP="00B95B72">
            <w:pPr>
              <w:keepNext/>
              <w:autoSpaceDE w:val="0"/>
              <w:autoSpaceDN w:val="0"/>
              <w:adjustRightInd w:val="0"/>
              <w:jc w:val="right"/>
              <w:rPr>
                <w:b/>
                <w:sz w:val="18"/>
                <w:szCs w:val="18"/>
                <w:lang w:val="en-US"/>
              </w:rPr>
            </w:pPr>
            <w:r>
              <w:rPr>
                <w:b/>
                <w:sz w:val="18"/>
                <w:szCs w:val="18"/>
                <w:lang w:val="en-US"/>
              </w:rPr>
              <w:t>-.119</w:t>
            </w:r>
          </w:p>
          <w:p w:rsidR="00B80E79" w:rsidRPr="00771EE9" w:rsidRDefault="00B80E79" w:rsidP="00B95B72">
            <w:pPr>
              <w:keepNext/>
              <w:autoSpaceDE w:val="0"/>
              <w:autoSpaceDN w:val="0"/>
              <w:adjustRightInd w:val="0"/>
              <w:jc w:val="right"/>
              <w:rPr>
                <w:b/>
                <w:sz w:val="18"/>
                <w:szCs w:val="18"/>
                <w:lang w:val="en-US"/>
              </w:rPr>
            </w:pPr>
            <w:r>
              <w:rPr>
                <w:b/>
                <w:sz w:val="18"/>
                <w:szCs w:val="18"/>
                <w:lang w:val="en-US"/>
              </w:rPr>
              <w:t>(0.49)</w:t>
            </w:r>
          </w:p>
        </w:tc>
        <w:tc>
          <w:tcPr>
            <w:tcW w:w="1178" w:type="pct"/>
          </w:tcPr>
          <w:p w:rsidR="00B80E79" w:rsidRPr="00771EE9" w:rsidRDefault="00B80E79" w:rsidP="00B95B72">
            <w:pPr>
              <w:keepNext/>
              <w:autoSpaceDE w:val="0"/>
              <w:autoSpaceDN w:val="0"/>
              <w:adjustRightInd w:val="0"/>
              <w:rPr>
                <w:b/>
                <w:sz w:val="18"/>
                <w:szCs w:val="18"/>
                <w:lang w:val="en-US"/>
              </w:rPr>
            </w:pPr>
            <w:r>
              <w:rPr>
                <w:b/>
                <w:sz w:val="18"/>
                <w:szCs w:val="18"/>
                <w:lang w:val="en-US"/>
              </w:rPr>
              <w:t>**</w:t>
            </w:r>
          </w:p>
        </w:tc>
      </w:tr>
      <w:tr w:rsidR="00B80E79" w:rsidRPr="00CA75B1" w:rsidTr="00B95B72">
        <w:trPr>
          <w:jc w:val="center"/>
        </w:trPr>
        <w:tc>
          <w:tcPr>
            <w:tcW w:w="2698" w:type="pct"/>
          </w:tcPr>
          <w:p w:rsidR="00B80E79" w:rsidRPr="00CA75B1" w:rsidRDefault="00B80E79" w:rsidP="00B95B72">
            <w:pPr>
              <w:keepNext/>
              <w:autoSpaceDE w:val="0"/>
              <w:autoSpaceDN w:val="0"/>
              <w:adjustRightInd w:val="0"/>
              <w:jc w:val="both"/>
              <w:rPr>
                <w:sz w:val="18"/>
                <w:szCs w:val="18"/>
                <w:lang w:val="en-US"/>
              </w:rPr>
            </w:pPr>
          </w:p>
        </w:tc>
        <w:tc>
          <w:tcPr>
            <w:tcW w:w="1124" w:type="pct"/>
          </w:tcPr>
          <w:p w:rsidR="00B80E79" w:rsidRPr="00CA75B1" w:rsidRDefault="00B80E79" w:rsidP="00B95B72">
            <w:pPr>
              <w:keepNext/>
              <w:autoSpaceDE w:val="0"/>
              <w:autoSpaceDN w:val="0"/>
              <w:adjustRightInd w:val="0"/>
              <w:jc w:val="right"/>
              <w:rPr>
                <w:sz w:val="18"/>
                <w:szCs w:val="18"/>
                <w:lang w:val="en-US"/>
              </w:rPr>
            </w:pPr>
          </w:p>
        </w:tc>
        <w:tc>
          <w:tcPr>
            <w:tcW w:w="1178" w:type="pct"/>
          </w:tcPr>
          <w:p w:rsidR="00B80E79" w:rsidRPr="00CA75B1" w:rsidRDefault="00B80E79" w:rsidP="00B95B72">
            <w:pPr>
              <w:keepNext/>
              <w:autoSpaceDE w:val="0"/>
              <w:autoSpaceDN w:val="0"/>
              <w:adjustRightInd w:val="0"/>
              <w:rPr>
                <w:sz w:val="18"/>
                <w:szCs w:val="18"/>
                <w:lang w:val="en-US"/>
              </w:rPr>
            </w:pPr>
          </w:p>
        </w:tc>
      </w:tr>
      <w:tr w:rsidR="00B80E79" w:rsidRPr="00CA75B1" w:rsidTr="00B95B72">
        <w:trPr>
          <w:jc w:val="center"/>
        </w:trPr>
        <w:tc>
          <w:tcPr>
            <w:tcW w:w="2698" w:type="pct"/>
          </w:tcPr>
          <w:p w:rsidR="00B80E79" w:rsidRPr="00CA75B1" w:rsidRDefault="00B80E79" w:rsidP="00B95B72">
            <w:pPr>
              <w:keepNext/>
              <w:autoSpaceDE w:val="0"/>
              <w:autoSpaceDN w:val="0"/>
              <w:adjustRightInd w:val="0"/>
              <w:rPr>
                <w:sz w:val="18"/>
                <w:szCs w:val="18"/>
                <w:lang w:val="en-US"/>
              </w:rPr>
            </w:pPr>
            <w:r>
              <w:rPr>
                <w:sz w:val="18"/>
                <w:szCs w:val="18"/>
                <w:lang w:val="en-US"/>
              </w:rPr>
              <w:t>Covariates</w:t>
            </w:r>
          </w:p>
        </w:tc>
        <w:tc>
          <w:tcPr>
            <w:tcW w:w="1124" w:type="pct"/>
          </w:tcPr>
          <w:p w:rsidR="00B80E79" w:rsidRPr="00CA75B1" w:rsidRDefault="00B80E79" w:rsidP="00B95B72">
            <w:pPr>
              <w:keepNext/>
              <w:autoSpaceDE w:val="0"/>
              <w:autoSpaceDN w:val="0"/>
              <w:adjustRightInd w:val="0"/>
              <w:jc w:val="right"/>
              <w:rPr>
                <w:sz w:val="18"/>
                <w:szCs w:val="18"/>
                <w:lang w:val="en-US"/>
              </w:rPr>
            </w:pPr>
            <w:r>
              <w:rPr>
                <w:sz w:val="18"/>
                <w:szCs w:val="18"/>
                <w:lang w:val="en-US"/>
              </w:rPr>
              <w:t xml:space="preserve">Yes </w:t>
            </w:r>
          </w:p>
        </w:tc>
        <w:tc>
          <w:tcPr>
            <w:tcW w:w="1178" w:type="pct"/>
          </w:tcPr>
          <w:p w:rsidR="00B80E79" w:rsidRPr="00CA75B1" w:rsidRDefault="00B80E79" w:rsidP="00B95B72">
            <w:pPr>
              <w:keepNext/>
              <w:autoSpaceDE w:val="0"/>
              <w:autoSpaceDN w:val="0"/>
              <w:adjustRightInd w:val="0"/>
              <w:rPr>
                <w:sz w:val="18"/>
                <w:szCs w:val="18"/>
                <w:lang w:val="en-US"/>
              </w:rPr>
            </w:pPr>
          </w:p>
        </w:tc>
      </w:tr>
      <w:tr w:rsidR="00B80E79" w:rsidRPr="00CA75B1" w:rsidTr="00B95B72">
        <w:trPr>
          <w:jc w:val="center"/>
        </w:trPr>
        <w:tc>
          <w:tcPr>
            <w:tcW w:w="2698" w:type="pct"/>
          </w:tcPr>
          <w:p w:rsidR="00B80E79" w:rsidRPr="00CA75B1" w:rsidRDefault="00B80E79" w:rsidP="00B95B72">
            <w:pPr>
              <w:keepNext/>
              <w:autoSpaceDE w:val="0"/>
              <w:autoSpaceDN w:val="0"/>
              <w:adjustRightInd w:val="0"/>
              <w:rPr>
                <w:sz w:val="18"/>
                <w:szCs w:val="18"/>
                <w:lang w:val="en-US"/>
              </w:rPr>
            </w:pPr>
            <w:r>
              <w:rPr>
                <w:sz w:val="18"/>
                <w:szCs w:val="18"/>
                <w:lang w:val="en-US"/>
              </w:rPr>
              <w:t>R</w:t>
            </w:r>
            <w:r w:rsidRPr="00771EE9">
              <w:rPr>
                <w:sz w:val="18"/>
                <w:szCs w:val="18"/>
                <w:vertAlign w:val="superscript"/>
                <w:lang w:val="en-US"/>
              </w:rPr>
              <w:t>2</w:t>
            </w:r>
          </w:p>
        </w:tc>
        <w:tc>
          <w:tcPr>
            <w:tcW w:w="1124" w:type="pct"/>
          </w:tcPr>
          <w:p w:rsidR="00B80E79" w:rsidRPr="00CA75B1" w:rsidRDefault="00B80E79" w:rsidP="00B95B72">
            <w:pPr>
              <w:keepNext/>
              <w:autoSpaceDE w:val="0"/>
              <w:autoSpaceDN w:val="0"/>
              <w:adjustRightInd w:val="0"/>
              <w:jc w:val="right"/>
              <w:rPr>
                <w:sz w:val="18"/>
                <w:szCs w:val="18"/>
                <w:lang w:val="en-US"/>
              </w:rPr>
            </w:pPr>
            <w:r>
              <w:rPr>
                <w:sz w:val="18"/>
                <w:szCs w:val="18"/>
                <w:lang w:val="en-US"/>
              </w:rPr>
              <w:t>.667</w:t>
            </w:r>
          </w:p>
        </w:tc>
        <w:tc>
          <w:tcPr>
            <w:tcW w:w="1178" w:type="pct"/>
          </w:tcPr>
          <w:p w:rsidR="00B80E79" w:rsidRPr="00CA75B1" w:rsidRDefault="00B80E79" w:rsidP="00B95B72">
            <w:pPr>
              <w:keepNext/>
              <w:autoSpaceDE w:val="0"/>
              <w:autoSpaceDN w:val="0"/>
              <w:adjustRightInd w:val="0"/>
              <w:rPr>
                <w:sz w:val="18"/>
                <w:szCs w:val="18"/>
                <w:lang w:val="en-US"/>
              </w:rPr>
            </w:pPr>
          </w:p>
        </w:tc>
      </w:tr>
      <w:tr w:rsidR="00B80E79" w:rsidRPr="00CA75B1" w:rsidTr="00B95B72">
        <w:trPr>
          <w:jc w:val="center"/>
        </w:trPr>
        <w:tc>
          <w:tcPr>
            <w:tcW w:w="2698" w:type="pct"/>
          </w:tcPr>
          <w:p w:rsidR="00B80E79" w:rsidRPr="00CA75B1" w:rsidRDefault="00B80E79" w:rsidP="00B95B72">
            <w:pPr>
              <w:keepNext/>
              <w:autoSpaceDE w:val="0"/>
              <w:autoSpaceDN w:val="0"/>
              <w:adjustRightInd w:val="0"/>
              <w:rPr>
                <w:sz w:val="18"/>
                <w:szCs w:val="18"/>
                <w:lang w:val="en-US"/>
              </w:rPr>
            </w:pPr>
            <w:r>
              <w:rPr>
                <w:sz w:val="18"/>
                <w:szCs w:val="18"/>
                <w:lang w:val="en-US"/>
              </w:rPr>
              <w:t>N</w:t>
            </w:r>
          </w:p>
        </w:tc>
        <w:tc>
          <w:tcPr>
            <w:tcW w:w="1124" w:type="pct"/>
          </w:tcPr>
          <w:p w:rsidR="00B80E79" w:rsidRPr="00CA75B1" w:rsidRDefault="00B80E79" w:rsidP="00B95B72">
            <w:pPr>
              <w:keepNext/>
              <w:autoSpaceDE w:val="0"/>
              <w:autoSpaceDN w:val="0"/>
              <w:adjustRightInd w:val="0"/>
              <w:jc w:val="right"/>
              <w:rPr>
                <w:sz w:val="18"/>
                <w:szCs w:val="18"/>
                <w:lang w:val="en-US"/>
              </w:rPr>
            </w:pPr>
            <w:r>
              <w:rPr>
                <w:sz w:val="18"/>
                <w:szCs w:val="18"/>
                <w:lang w:val="en-US"/>
              </w:rPr>
              <w:t>750</w:t>
            </w:r>
          </w:p>
        </w:tc>
        <w:tc>
          <w:tcPr>
            <w:tcW w:w="1178" w:type="pct"/>
          </w:tcPr>
          <w:p w:rsidR="00B80E79" w:rsidRPr="00CA75B1" w:rsidRDefault="00B80E79" w:rsidP="00B95B72">
            <w:pPr>
              <w:keepNext/>
              <w:autoSpaceDE w:val="0"/>
              <w:autoSpaceDN w:val="0"/>
              <w:adjustRightInd w:val="0"/>
              <w:rPr>
                <w:sz w:val="18"/>
                <w:szCs w:val="18"/>
                <w:lang w:val="en-US"/>
              </w:rPr>
            </w:pPr>
          </w:p>
        </w:tc>
      </w:tr>
      <w:tr w:rsidR="00B80E79" w:rsidRPr="00CA75B1" w:rsidTr="00B95B72">
        <w:trPr>
          <w:jc w:val="center"/>
        </w:trPr>
        <w:tc>
          <w:tcPr>
            <w:tcW w:w="2698" w:type="pct"/>
          </w:tcPr>
          <w:p w:rsidR="00B80E79" w:rsidRDefault="00B80E79" w:rsidP="00B95B72">
            <w:pPr>
              <w:keepNext/>
              <w:autoSpaceDE w:val="0"/>
              <w:autoSpaceDN w:val="0"/>
              <w:adjustRightInd w:val="0"/>
              <w:rPr>
                <w:sz w:val="18"/>
                <w:szCs w:val="18"/>
                <w:lang w:val="en-US"/>
              </w:rPr>
            </w:pPr>
            <w:r>
              <w:rPr>
                <w:sz w:val="18"/>
                <w:szCs w:val="18"/>
                <w:lang w:val="en-US"/>
              </w:rPr>
              <w:t>Rho</w:t>
            </w:r>
          </w:p>
        </w:tc>
        <w:tc>
          <w:tcPr>
            <w:tcW w:w="1124" w:type="pct"/>
          </w:tcPr>
          <w:p w:rsidR="00B80E79" w:rsidRPr="00CA75B1" w:rsidRDefault="00B80E79" w:rsidP="00B95B72">
            <w:pPr>
              <w:keepNext/>
              <w:autoSpaceDE w:val="0"/>
              <w:autoSpaceDN w:val="0"/>
              <w:adjustRightInd w:val="0"/>
              <w:jc w:val="right"/>
              <w:rPr>
                <w:sz w:val="18"/>
                <w:szCs w:val="18"/>
                <w:lang w:val="en-US"/>
              </w:rPr>
            </w:pPr>
            <w:r>
              <w:rPr>
                <w:sz w:val="18"/>
                <w:szCs w:val="18"/>
                <w:lang w:val="en-US"/>
              </w:rPr>
              <w:t>.201</w:t>
            </w:r>
          </w:p>
        </w:tc>
        <w:tc>
          <w:tcPr>
            <w:tcW w:w="1178" w:type="pct"/>
          </w:tcPr>
          <w:p w:rsidR="00B80E79" w:rsidRPr="00CA75B1" w:rsidRDefault="00B80E79" w:rsidP="00B95B72">
            <w:pPr>
              <w:keepNext/>
              <w:autoSpaceDE w:val="0"/>
              <w:autoSpaceDN w:val="0"/>
              <w:adjustRightInd w:val="0"/>
              <w:rPr>
                <w:sz w:val="18"/>
                <w:szCs w:val="18"/>
                <w:lang w:val="en-US"/>
              </w:rPr>
            </w:pPr>
          </w:p>
        </w:tc>
      </w:tr>
    </w:tbl>
    <w:p w:rsidR="00B80E79" w:rsidRPr="007A5339" w:rsidRDefault="00B80E79" w:rsidP="00B80E79">
      <w:pPr>
        <w:keepNext/>
        <w:rPr>
          <w:rFonts w:eastAsiaTheme="minorHAnsi"/>
          <w:color w:val="231F20"/>
          <w:sz w:val="18"/>
          <w:szCs w:val="22"/>
          <w:lang w:val="en-US" w:eastAsia="en-US"/>
        </w:rPr>
      </w:pPr>
      <w:r w:rsidRPr="007A5339">
        <w:rPr>
          <w:rFonts w:eastAsiaTheme="minorHAnsi"/>
          <w:color w:val="231F20"/>
          <w:sz w:val="18"/>
          <w:szCs w:val="22"/>
          <w:lang w:val="en-US" w:eastAsia="en-US"/>
        </w:rPr>
        <w:t>Province cluster robust standard errors in parenthesis</w:t>
      </w:r>
      <w:r>
        <w:rPr>
          <w:rFonts w:eastAsiaTheme="minorHAnsi"/>
          <w:color w:val="231F20"/>
          <w:sz w:val="18"/>
          <w:szCs w:val="22"/>
          <w:lang w:val="en-US" w:eastAsia="en-US"/>
        </w:rPr>
        <w:t xml:space="preserve"> </w:t>
      </w:r>
    </w:p>
    <w:p w:rsidR="00B80E79" w:rsidRPr="00B80E79" w:rsidRDefault="00B80E79" w:rsidP="00B80E79">
      <w:pPr>
        <w:autoSpaceDE w:val="0"/>
        <w:autoSpaceDN w:val="0"/>
        <w:adjustRightInd w:val="0"/>
        <w:spacing w:before="120" w:after="120" w:line="360" w:lineRule="auto"/>
        <w:jc w:val="both"/>
        <w:rPr>
          <w:rFonts w:eastAsiaTheme="minorHAnsi"/>
          <w:szCs w:val="22"/>
          <w:lang w:val="en-US" w:eastAsia="en-US"/>
        </w:rPr>
      </w:pPr>
    </w:p>
    <w:p w:rsidR="00B80E79" w:rsidRPr="00B80E79" w:rsidRDefault="00B80E79" w:rsidP="00B80E79">
      <w:pPr>
        <w:autoSpaceDE w:val="0"/>
        <w:autoSpaceDN w:val="0"/>
        <w:adjustRightInd w:val="0"/>
        <w:spacing w:before="120" w:after="120" w:line="360" w:lineRule="auto"/>
        <w:jc w:val="both"/>
        <w:rPr>
          <w:rFonts w:eastAsiaTheme="minorHAnsi"/>
          <w:szCs w:val="22"/>
          <w:lang w:val="en-US" w:eastAsia="en-US"/>
        </w:rPr>
      </w:pPr>
      <w:r w:rsidRPr="00B80E79">
        <w:rPr>
          <w:szCs w:val="22"/>
          <w:lang w:val="en-US"/>
        </w:rPr>
        <w:t>We can observe that in the second regression the lag of the real housing prices is statistically significant (Table A2) while in the first regression the lead of the ratio of affordable dwellings is not statistically significant.</w:t>
      </w:r>
    </w:p>
    <w:p w:rsidR="00B80E79" w:rsidRPr="00B80E79" w:rsidRDefault="00B80E79" w:rsidP="00B80E79">
      <w:pPr>
        <w:spacing w:before="120" w:after="120" w:line="360" w:lineRule="auto"/>
        <w:rPr>
          <w:sz w:val="28"/>
          <w:lang w:val="en-US"/>
        </w:rPr>
      </w:pPr>
    </w:p>
    <w:p w:rsidR="00B80E79" w:rsidRPr="00B80E79" w:rsidRDefault="00B80E79" w:rsidP="00B80E79">
      <w:pPr>
        <w:spacing w:before="120" w:after="120" w:line="360" w:lineRule="auto"/>
        <w:rPr>
          <w:sz w:val="28"/>
          <w:lang w:val="en-US"/>
        </w:rPr>
      </w:pPr>
    </w:p>
    <w:sectPr w:rsidR="00B80E79" w:rsidRPr="00B80E79" w:rsidSect="00435266">
      <w:headerReference w:type="default" r:id="rId20"/>
      <w:pgSz w:w="11906" w:h="16838"/>
      <w:pgMar w:top="1399" w:right="1701"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BD" w:rsidRDefault="00B717BD" w:rsidP="00435266">
      <w:r>
        <w:separator/>
      </w:r>
    </w:p>
  </w:endnote>
  <w:endnote w:type="continuationSeparator" w:id="0">
    <w:p w:rsidR="00B717BD" w:rsidRDefault="00B717BD" w:rsidP="0043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BD" w:rsidRDefault="00B717BD" w:rsidP="00435266">
      <w:r>
        <w:separator/>
      </w:r>
    </w:p>
  </w:footnote>
  <w:footnote w:type="continuationSeparator" w:id="0">
    <w:p w:rsidR="00B717BD" w:rsidRDefault="00B717BD" w:rsidP="00435266">
      <w:r>
        <w:continuationSeparator/>
      </w:r>
    </w:p>
  </w:footnote>
  <w:footnote w:id="1">
    <w:p w:rsidR="00B80E79" w:rsidRPr="00A6196D" w:rsidRDefault="00B80E79" w:rsidP="00B80E79">
      <w:pPr>
        <w:pStyle w:val="Textonotapie"/>
        <w:jc w:val="both"/>
        <w:rPr>
          <w:lang w:val="en-US"/>
        </w:rPr>
      </w:pPr>
      <w:r w:rsidRPr="00A6196D">
        <w:rPr>
          <w:rStyle w:val="Refdenotaalpie"/>
        </w:rPr>
        <w:footnoteRef/>
      </w:r>
      <w:r w:rsidRPr="00A6196D">
        <w:rPr>
          <w:lang w:val="en-US"/>
        </w:rPr>
        <w:t xml:space="preserve"> Many representatives of development and construction interests have made clear this position in many occasions (</w:t>
      </w:r>
      <w:proofErr w:type="spellStart"/>
      <w:r w:rsidRPr="00A6196D">
        <w:rPr>
          <w:lang w:val="en-US"/>
        </w:rPr>
        <w:t>Azumendi</w:t>
      </w:r>
      <w:proofErr w:type="spellEnd"/>
      <w:r w:rsidRPr="00A6196D">
        <w:rPr>
          <w:lang w:val="en-US"/>
        </w:rPr>
        <w:t xml:space="preserve">, E. (2004, September 26); Europa Press (2010, October 28); Navarra </w:t>
      </w:r>
      <w:proofErr w:type="spellStart"/>
      <w:r w:rsidRPr="00A6196D">
        <w:rPr>
          <w:lang w:val="en-US"/>
        </w:rPr>
        <w:t>Confidencial</w:t>
      </w:r>
      <w:proofErr w:type="spellEnd"/>
      <w:r w:rsidRPr="00A6196D">
        <w:rPr>
          <w:lang w:val="en-US"/>
        </w:rPr>
        <w:t xml:space="preserve"> (2012, December 20); </w:t>
      </w:r>
      <w:proofErr w:type="spellStart"/>
      <w:r w:rsidRPr="00A6196D">
        <w:rPr>
          <w:lang w:val="en-US"/>
        </w:rPr>
        <w:t>Baza</w:t>
      </w:r>
      <w:proofErr w:type="spellEnd"/>
      <w:r w:rsidRPr="00A6196D">
        <w:rPr>
          <w:lang w:val="en-US"/>
        </w:rPr>
        <w:t xml:space="preserve">, N. (2008, February); El </w:t>
      </w:r>
      <w:proofErr w:type="spellStart"/>
      <w:r w:rsidRPr="00A6196D">
        <w:rPr>
          <w:lang w:val="en-US"/>
        </w:rPr>
        <w:t>Economista</w:t>
      </w:r>
      <w:proofErr w:type="spellEnd"/>
      <w:r w:rsidRPr="00A6196D">
        <w:rPr>
          <w:lang w:val="en-US"/>
        </w:rPr>
        <w:t xml:space="preserve"> (2007, June 28); El </w:t>
      </w:r>
      <w:proofErr w:type="spellStart"/>
      <w:r w:rsidRPr="00A6196D">
        <w:rPr>
          <w:lang w:val="en-US"/>
        </w:rPr>
        <w:t>Mundo</w:t>
      </w:r>
      <w:proofErr w:type="spellEnd"/>
      <w:r w:rsidRPr="00A6196D">
        <w:rPr>
          <w:lang w:val="en-US"/>
        </w:rPr>
        <w:t xml:space="preserve"> (2006, July 20); Guardiola (2006, December 10).</w:t>
      </w:r>
    </w:p>
  </w:footnote>
  <w:footnote w:id="2">
    <w:p w:rsidR="00B80E79" w:rsidRPr="00A6196D" w:rsidRDefault="00B80E79" w:rsidP="00B80E79">
      <w:pPr>
        <w:pStyle w:val="Textonotapie"/>
        <w:jc w:val="both"/>
        <w:rPr>
          <w:lang w:val="en-US"/>
        </w:rPr>
      </w:pPr>
      <w:r w:rsidRPr="00A6196D">
        <w:rPr>
          <w:rStyle w:val="Refdenotaalpie"/>
        </w:rPr>
        <w:footnoteRef/>
      </w:r>
      <w:r w:rsidRPr="00A6196D">
        <w:rPr>
          <w:lang w:val="en-US"/>
        </w:rPr>
        <w:t xml:space="preserve"> See (La </w:t>
      </w:r>
      <w:proofErr w:type="spellStart"/>
      <w:r w:rsidRPr="00A6196D">
        <w:rPr>
          <w:lang w:val="en-US"/>
        </w:rPr>
        <w:t>Opinión</w:t>
      </w:r>
      <w:proofErr w:type="spellEnd"/>
      <w:r w:rsidRPr="00A6196D">
        <w:rPr>
          <w:lang w:val="en-US"/>
        </w:rPr>
        <w:t xml:space="preserve"> de Murcia, 2007, October 10) and the debates carried out at the Parliament (</w:t>
      </w:r>
      <w:hyperlink r:id="rId1" w:anchor="(Página1))" w:history="1">
        <w:r w:rsidRPr="00A6196D">
          <w:rPr>
            <w:rStyle w:val="Hipervnculo"/>
            <w:lang w:val="en-US"/>
          </w:rPr>
          <w:t>http://www.congreso.es/portal/page/portal/Congreso/PopUpCGI?CMD=VERLST&amp;BASE=puw8&amp;FMT=PUWTXDTS.fmt&amp;DOCS=1-1&amp;DOCORDER=LIFO&amp;QUERY=%28CDA20060908009601.CODI.%29#(Página1))</w:t>
        </w:r>
      </w:hyperlink>
      <w:r w:rsidRPr="00A6196D">
        <w:rPr>
          <w:lang w:val="en-US"/>
        </w:rPr>
        <w:t>.</w:t>
      </w:r>
    </w:p>
  </w:footnote>
  <w:footnote w:id="3">
    <w:p w:rsidR="00B80E79" w:rsidRPr="00A6196D" w:rsidRDefault="00B80E79" w:rsidP="00B80E79">
      <w:pPr>
        <w:pStyle w:val="Textonotapie"/>
        <w:jc w:val="both"/>
        <w:rPr>
          <w:lang w:val="en-US"/>
        </w:rPr>
      </w:pPr>
      <w:r w:rsidRPr="00A6196D">
        <w:rPr>
          <w:rStyle w:val="Refdenotaalpie"/>
        </w:rPr>
        <w:footnoteRef/>
      </w:r>
      <w:r w:rsidRPr="00A6196D">
        <w:rPr>
          <w:lang w:val="en-US"/>
        </w:rPr>
        <w:t xml:space="preserve"> Since the majority of households in Spain live in dwellings, in this work the following terms are synonyms: dwellings, houses, housing units.</w:t>
      </w:r>
    </w:p>
  </w:footnote>
  <w:footnote w:id="4">
    <w:p w:rsidR="00B80E79" w:rsidRPr="00A6196D" w:rsidRDefault="00B80E79" w:rsidP="00B80E79">
      <w:pPr>
        <w:pStyle w:val="Textonotapie"/>
        <w:jc w:val="both"/>
        <w:rPr>
          <w:lang w:val="es-ES"/>
        </w:rPr>
      </w:pPr>
      <w:r w:rsidRPr="00A6196D">
        <w:rPr>
          <w:rStyle w:val="Refdenotaalpie"/>
        </w:rPr>
        <w:footnoteRef/>
      </w:r>
      <w:r w:rsidRPr="00A6196D">
        <w:rPr>
          <w:lang w:val="es-ES"/>
        </w:rPr>
        <w:t xml:space="preserve"> Plan Estatal de Fomento del Alquiler de Viviendas, la Rehabilitación Edificatoria, y la Regeneración y Renovación Urbanas, 2013-2016 (</w:t>
      </w:r>
      <w:hyperlink r:id="rId2" w:history="1">
        <w:r w:rsidRPr="00A6196D">
          <w:rPr>
            <w:rStyle w:val="Hipervnculo"/>
            <w:lang w:val="es-ES"/>
          </w:rPr>
          <w:t>https://www.fomento.gob.es/MFOM/LANG_CASTELLANO/DIRECCIONES_GENERALES/ARQ_VIVIENDA/APOYO_EMANCIPACION/PLAN_ESTATAL.htm</w:t>
        </w:r>
      </w:hyperlink>
      <w:r w:rsidRPr="00A6196D">
        <w:rPr>
          <w:lang w:val="es-ES"/>
        </w:rPr>
        <w:t>).</w:t>
      </w:r>
    </w:p>
  </w:footnote>
  <w:footnote w:id="5">
    <w:p w:rsidR="00B80E79" w:rsidRPr="00A6196D" w:rsidRDefault="00B80E79" w:rsidP="00B80E79">
      <w:pPr>
        <w:pStyle w:val="Textonotapie"/>
        <w:jc w:val="both"/>
        <w:rPr>
          <w:lang w:val="en-US"/>
        </w:rPr>
      </w:pPr>
      <w:r w:rsidRPr="00A6196D">
        <w:rPr>
          <w:rStyle w:val="Refdenotaalpie"/>
        </w:rPr>
        <w:footnoteRef/>
      </w:r>
      <w:r w:rsidRPr="00A6196D">
        <w:t xml:space="preserve"> </w:t>
      </w:r>
      <w:r w:rsidRPr="00A6196D">
        <w:rPr>
          <w:lang w:val="en-US"/>
        </w:rPr>
        <w:t>It is worth noting that an increase of 1 unit in the ratio means to move for example from a ratio of 0.3 affordable dwelling completions for every market dwelling completion to 1.03 affordable dwellings for every market dwelling, i.e. the number of affordable dwelling completions would exceed the number of market dwelling completion.</w:t>
      </w:r>
    </w:p>
  </w:footnote>
  <w:footnote w:id="6">
    <w:p w:rsidR="00B80E79" w:rsidRPr="00A6196D" w:rsidRDefault="00B80E79" w:rsidP="00B80E79">
      <w:pPr>
        <w:pStyle w:val="Textonotapie"/>
        <w:jc w:val="both"/>
        <w:rPr>
          <w:lang w:val="en-US"/>
        </w:rPr>
      </w:pPr>
      <w:r w:rsidRPr="00A6196D">
        <w:rPr>
          <w:rStyle w:val="Refdenotaalpie"/>
        </w:rPr>
        <w:footnoteRef/>
      </w:r>
      <w:r w:rsidRPr="00A6196D">
        <w:t xml:space="preserve"> </w:t>
      </w:r>
      <w:r w:rsidRPr="00A6196D">
        <w:rPr>
          <w:lang w:val="en-US"/>
        </w:rPr>
        <w:t xml:space="preserve">We have implemented the IPS, Fisher and </w:t>
      </w:r>
      <w:proofErr w:type="gramStart"/>
      <w:r w:rsidRPr="00A6196D">
        <w:rPr>
          <w:lang w:val="en-US"/>
        </w:rPr>
        <w:t>LLC panel unit root test</w:t>
      </w:r>
      <w:proofErr w:type="gramEnd"/>
      <w:r w:rsidRPr="00A6196D">
        <w:rPr>
          <w:lang w:val="en-US"/>
        </w:rPr>
        <w:t xml:space="preserve"> on the residuals of the OLS and Fixed Effect models to confirm the stationarity of the variables. Results show that the residuals are stationary. Results are available from the authors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66" w:rsidRDefault="00CD5F05">
    <w:pPr>
      <w:pStyle w:val="Encabezado"/>
    </w:pPr>
    <w:r>
      <w:rPr>
        <w:noProof/>
      </w:rPr>
      <w:drawing>
        <wp:inline distT="0" distB="0" distL="0" distR="0">
          <wp:extent cx="5381625" cy="1019175"/>
          <wp:effectExtent l="19050" t="0" r="9525" b="0"/>
          <wp:docPr id="1" name="Imagen 1" descr="call_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_papers"/>
                  <pic:cNvPicPr>
                    <a:picLocks noChangeAspect="1" noChangeArrowheads="1"/>
                  </pic:cNvPicPr>
                </pic:nvPicPr>
                <pic:blipFill>
                  <a:blip r:embed="rId1"/>
                  <a:srcRect/>
                  <a:stretch>
                    <a:fillRect/>
                  </a:stretch>
                </pic:blipFill>
                <pic:spPr bwMode="auto">
                  <a:xfrm>
                    <a:off x="0" y="0"/>
                    <a:ext cx="5381625" cy="10191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C4"/>
    <w:rsid w:val="00000755"/>
    <w:rsid w:val="000302B0"/>
    <w:rsid w:val="000333A5"/>
    <w:rsid w:val="00033D8B"/>
    <w:rsid w:val="00041D88"/>
    <w:rsid w:val="00063FD7"/>
    <w:rsid w:val="000A0483"/>
    <w:rsid w:val="000A6D6D"/>
    <w:rsid w:val="000B70BF"/>
    <w:rsid w:val="000C7339"/>
    <w:rsid w:val="000D3A5E"/>
    <w:rsid w:val="000D4D87"/>
    <w:rsid w:val="000D642B"/>
    <w:rsid w:val="00101ECC"/>
    <w:rsid w:val="001046CB"/>
    <w:rsid w:val="00111546"/>
    <w:rsid w:val="001125BD"/>
    <w:rsid w:val="0011458D"/>
    <w:rsid w:val="00115B30"/>
    <w:rsid w:val="001366D4"/>
    <w:rsid w:val="00141D25"/>
    <w:rsid w:val="00152084"/>
    <w:rsid w:val="00156C3F"/>
    <w:rsid w:val="00157D09"/>
    <w:rsid w:val="001649BB"/>
    <w:rsid w:val="00187D0A"/>
    <w:rsid w:val="0019254C"/>
    <w:rsid w:val="00196950"/>
    <w:rsid w:val="001A2A72"/>
    <w:rsid w:val="001B6129"/>
    <w:rsid w:val="001C4E52"/>
    <w:rsid w:val="001D01A2"/>
    <w:rsid w:val="00201D7E"/>
    <w:rsid w:val="00206DB9"/>
    <w:rsid w:val="00210E6B"/>
    <w:rsid w:val="0022011E"/>
    <w:rsid w:val="002212CC"/>
    <w:rsid w:val="00223998"/>
    <w:rsid w:val="00224E75"/>
    <w:rsid w:val="00235D51"/>
    <w:rsid w:val="002604CC"/>
    <w:rsid w:val="00261715"/>
    <w:rsid w:val="00265158"/>
    <w:rsid w:val="002704E7"/>
    <w:rsid w:val="00271112"/>
    <w:rsid w:val="002A6880"/>
    <w:rsid w:val="002A6BD6"/>
    <w:rsid w:val="002C72CE"/>
    <w:rsid w:val="002D2AEF"/>
    <w:rsid w:val="002E47B1"/>
    <w:rsid w:val="002F4455"/>
    <w:rsid w:val="002F6CBA"/>
    <w:rsid w:val="003109B5"/>
    <w:rsid w:val="00327453"/>
    <w:rsid w:val="0034036C"/>
    <w:rsid w:val="00352E51"/>
    <w:rsid w:val="00355FA4"/>
    <w:rsid w:val="00376DCE"/>
    <w:rsid w:val="00381F8F"/>
    <w:rsid w:val="00384B14"/>
    <w:rsid w:val="00387CED"/>
    <w:rsid w:val="003B1E9E"/>
    <w:rsid w:val="003B41CA"/>
    <w:rsid w:val="003B7B1A"/>
    <w:rsid w:val="003C023E"/>
    <w:rsid w:val="003C11AD"/>
    <w:rsid w:val="003C2053"/>
    <w:rsid w:val="003C32EE"/>
    <w:rsid w:val="003C6DC9"/>
    <w:rsid w:val="003E74EE"/>
    <w:rsid w:val="004013DD"/>
    <w:rsid w:val="0040683C"/>
    <w:rsid w:val="00415B11"/>
    <w:rsid w:val="00426936"/>
    <w:rsid w:val="004275A6"/>
    <w:rsid w:val="00427EC1"/>
    <w:rsid w:val="00430B92"/>
    <w:rsid w:val="00434DD7"/>
    <w:rsid w:val="00435266"/>
    <w:rsid w:val="004462AE"/>
    <w:rsid w:val="00446AB2"/>
    <w:rsid w:val="00454A91"/>
    <w:rsid w:val="004550AE"/>
    <w:rsid w:val="00466372"/>
    <w:rsid w:val="0046639A"/>
    <w:rsid w:val="004710A2"/>
    <w:rsid w:val="00480ED0"/>
    <w:rsid w:val="0049617F"/>
    <w:rsid w:val="00497DC5"/>
    <w:rsid w:val="004A03C2"/>
    <w:rsid w:val="004A04B1"/>
    <w:rsid w:val="004B4D0B"/>
    <w:rsid w:val="004B6DCF"/>
    <w:rsid w:val="004C0672"/>
    <w:rsid w:val="004C22B4"/>
    <w:rsid w:val="004C6B75"/>
    <w:rsid w:val="004C7AA0"/>
    <w:rsid w:val="004E75B0"/>
    <w:rsid w:val="004E776E"/>
    <w:rsid w:val="004F44E3"/>
    <w:rsid w:val="00506029"/>
    <w:rsid w:val="00517305"/>
    <w:rsid w:val="00521CCF"/>
    <w:rsid w:val="0053523A"/>
    <w:rsid w:val="00535AF0"/>
    <w:rsid w:val="005360B8"/>
    <w:rsid w:val="0053621C"/>
    <w:rsid w:val="0055294C"/>
    <w:rsid w:val="00557987"/>
    <w:rsid w:val="00570FCA"/>
    <w:rsid w:val="00590B0A"/>
    <w:rsid w:val="00591DA7"/>
    <w:rsid w:val="005940EC"/>
    <w:rsid w:val="005A43E4"/>
    <w:rsid w:val="005B003A"/>
    <w:rsid w:val="005B33ED"/>
    <w:rsid w:val="005B3CE3"/>
    <w:rsid w:val="005B69F2"/>
    <w:rsid w:val="005D594B"/>
    <w:rsid w:val="005E3521"/>
    <w:rsid w:val="005E3538"/>
    <w:rsid w:val="005F40B8"/>
    <w:rsid w:val="00611876"/>
    <w:rsid w:val="00624D1F"/>
    <w:rsid w:val="006628D2"/>
    <w:rsid w:val="006828F6"/>
    <w:rsid w:val="00685168"/>
    <w:rsid w:val="006860AA"/>
    <w:rsid w:val="006A10A1"/>
    <w:rsid w:val="006A6E3A"/>
    <w:rsid w:val="006B2424"/>
    <w:rsid w:val="006B3128"/>
    <w:rsid w:val="006C4DD3"/>
    <w:rsid w:val="006C6CFC"/>
    <w:rsid w:val="006D11C6"/>
    <w:rsid w:val="006E0099"/>
    <w:rsid w:val="006E34FC"/>
    <w:rsid w:val="006E3B5F"/>
    <w:rsid w:val="006E54DE"/>
    <w:rsid w:val="006F623F"/>
    <w:rsid w:val="006F6F77"/>
    <w:rsid w:val="007025D8"/>
    <w:rsid w:val="00714351"/>
    <w:rsid w:val="007232C9"/>
    <w:rsid w:val="007235D2"/>
    <w:rsid w:val="007244DD"/>
    <w:rsid w:val="00727E6C"/>
    <w:rsid w:val="007337C5"/>
    <w:rsid w:val="00733B5F"/>
    <w:rsid w:val="007424A3"/>
    <w:rsid w:val="007434C0"/>
    <w:rsid w:val="007438FD"/>
    <w:rsid w:val="0076130D"/>
    <w:rsid w:val="00761948"/>
    <w:rsid w:val="007876E4"/>
    <w:rsid w:val="00790362"/>
    <w:rsid w:val="007A07D2"/>
    <w:rsid w:val="007A3CDA"/>
    <w:rsid w:val="007A7019"/>
    <w:rsid w:val="007B505C"/>
    <w:rsid w:val="007C1C19"/>
    <w:rsid w:val="007C3F9B"/>
    <w:rsid w:val="007C3FB5"/>
    <w:rsid w:val="007C417A"/>
    <w:rsid w:val="007D4EF6"/>
    <w:rsid w:val="007D6BDB"/>
    <w:rsid w:val="007D76CE"/>
    <w:rsid w:val="007D7940"/>
    <w:rsid w:val="007E5BA4"/>
    <w:rsid w:val="007F52FE"/>
    <w:rsid w:val="008065FC"/>
    <w:rsid w:val="0081031D"/>
    <w:rsid w:val="008477A1"/>
    <w:rsid w:val="008545C0"/>
    <w:rsid w:val="00855D75"/>
    <w:rsid w:val="00870484"/>
    <w:rsid w:val="008821C7"/>
    <w:rsid w:val="00890325"/>
    <w:rsid w:val="008A5190"/>
    <w:rsid w:val="008B5777"/>
    <w:rsid w:val="008C5E67"/>
    <w:rsid w:val="008C7CE1"/>
    <w:rsid w:val="008D6B65"/>
    <w:rsid w:val="008D7D47"/>
    <w:rsid w:val="008E057F"/>
    <w:rsid w:val="008E3F3C"/>
    <w:rsid w:val="008E7254"/>
    <w:rsid w:val="008F40D0"/>
    <w:rsid w:val="0091646E"/>
    <w:rsid w:val="00924F66"/>
    <w:rsid w:val="009267D3"/>
    <w:rsid w:val="00930221"/>
    <w:rsid w:val="00934FC4"/>
    <w:rsid w:val="00941E72"/>
    <w:rsid w:val="009436C2"/>
    <w:rsid w:val="009505E6"/>
    <w:rsid w:val="009545EC"/>
    <w:rsid w:val="00984322"/>
    <w:rsid w:val="00991C6E"/>
    <w:rsid w:val="009950C7"/>
    <w:rsid w:val="009A6159"/>
    <w:rsid w:val="009C2822"/>
    <w:rsid w:val="009C47B7"/>
    <w:rsid w:val="009C6BD9"/>
    <w:rsid w:val="009D1E5C"/>
    <w:rsid w:val="00A2135C"/>
    <w:rsid w:val="00A2210E"/>
    <w:rsid w:val="00A254C0"/>
    <w:rsid w:val="00A42475"/>
    <w:rsid w:val="00A45E09"/>
    <w:rsid w:val="00A56C31"/>
    <w:rsid w:val="00A7323E"/>
    <w:rsid w:val="00A74CAE"/>
    <w:rsid w:val="00A7523F"/>
    <w:rsid w:val="00A7766E"/>
    <w:rsid w:val="00A80D0A"/>
    <w:rsid w:val="00A87823"/>
    <w:rsid w:val="00A915CF"/>
    <w:rsid w:val="00A9196A"/>
    <w:rsid w:val="00A91B9D"/>
    <w:rsid w:val="00A949E6"/>
    <w:rsid w:val="00AA4B9A"/>
    <w:rsid w:val="00AB08AC"/>
    <w:rsid w:val="00AB2565"/>
    <w:rsid w:val="00AB7002"/>
    <w:rsid w:val="00AB7192"/>
    <w:rsid w:val="00AD27BC"/>
    <w:rsid w:val="00AD2BC2"/>
    <w:rsid w:val="00AF0512"/>
    <w:rsid w:val="00AF590C"/>
    <w:rsid w:val="00B15998"/>
    <w:rsid w:val="00B175A6"/>
    <w:rsid w:val="00B31EF7"/>
    <w:rsid w:val="00B35874"/>
    <w:rsid w:val="00B368A5"/>
    <w:rsid w:val="00B3695F"/>
    <w:rsid w:val="00B717BD"/>
    <w:rsid w:val="00B71AF6"/>
    <w:rsid w:val="00B73C51"/>
    <w:rsid w:val="00B80E79"/>
    <w:rsid w:val="00B86488"/>
    <w:rsid w:val="00B90E83"/>
    <w:rsid w:val="00B94694"/>
    <w:rsid w:val="00BA041F"/>
    <w:rsid w:val="00BA2255"/>
    <w:rsid w:val="00BA405C"/>
    <w:rsid w:val="00BB783F"/>
    <w:rsid w:val="00BC0147"/>
    <w:rsid w:val="00BC0E5F"/>
    <w:rsid w:val="00BF1146"/>
    <w:rsid w:val="00BF4FFF"/>
    <w:rsid w:val="00BF6C99"/>
    <w:rsid w:val="00C03A62"/>
    <w:rsid w:val="00C110BD"/>
    <w:rsid w:val="00C1626E"/>
    <w:rsid w:val="00C24FDD"/>
    <w:rsid w:val="00C34A7D"/>
    <w:rsid w:val="00C35295"/>
    <w:rsid w:val="00C36FEC"/>
    <w:rsid w:val="00C3731E"/>
    <w:rsid w:val="00C373AD"/>
    <w:rsid w:val="00C40EA2"/>
    <w:rsid w:val="00C713DA"/>
    <w:rsid w:val="00C75C26"/>
    <w:rsid w:val="00C92190"/>
    <w:rsid w:val="00C961E1"/>
    <w:rsid w:val="00CA111E"/>
    <w:rsid w:val="00CB1056"/>
    <w:rsid w:val="00CC5F6D"/>
    <w:rsid w:val="00CD0153"/>
    <w:rsid w:val="00CD0C7E"/>
    <w:rsid w:val="00CD5F05"/>
    <w:rsid w:val="00CD5F62"/>
    <w:rsid w:val="00CD6D0F"/>
    <w:rsid w:val="00CE046E"/>
    <w:rsid w:val="00CE36F8"/>
    <w:rsid w:val="00CE6C89"/>
    <w:rsid w:val="00CF7E66"/>
    <w:rsid w:val="00D1272D"/>
    <w:rsid w:val="00D23795"/>
    <w:rsid w:val="00D3604A"/>
    <w:rsid w:val="00D42286"/>
    <w:rsid w:val="00D5089F"/>
    <w:rsid w:val="00D53D25"/>
    <w:rsid w:val="00D565B9"/>
    <w:rsid w:val="00D6157B"/>
    <w:rsid w:val="00D616D2"/>
    <w:rsid w:val="00D66F57"/>
    <w:rsid w:val="00D821A8"/>
    <w:rsid w:val="00D84CD9"/>
    <w:rsid w:val="00D93387"/>
    <w:rsid w:val="00DB21BB"/>
    <w:rsid w:val="00DB75D3"/>
    <w:rsid w:val="00DC773E"/>
    <w:rsid w:val="00DE25E6"/>
    <w:rsid w:val="00DF4D9A"/>
    <w:rsid w:val="00E03B2C"/>
    <w:rsid w:val="00E0518C"/>
    <w:rsid w:val="00E1021F"/>
    <w:rsid w:val="00E13682"/>
    <w:rsid w:val="00E2437E"/>
    <w:rsid w:val="00E36318"/>
    <w:rsid w:val="00E479CB"/>
    <w:rsid w:val="00E6269C"/>
    <w:rsid w:val="00E64BDD"/>
    <w:rsid w:val="00E65BE0"/>
    <w:rsid w:val="00E7273B"/>
    <w:rsid w:val="00E73D56"/>
    <w:rsid w:val="00E82FBB"/>
    <w:rsid w:val="00E91900"/>
    <w:rsid w:val="00E93B66"/>
    <w:rsid w:val="00EA409A"/>
    <w:rsid w:val="00EC4456"/>
    <w:rsid w:val="00EC49E7"/>
    <w:rsid w:val="00EC637A"/>
    <w:rsid w:val="00EC6BD2"/>
    <w:rsid w:val="00ED1845"/>
    <w:rsid w:val="00EE1D8E"/>
    <w:rsid w:val="00EE7035"/>
    <w:rsid w:val="00F050F3"/>
    <w:rsid w:val="00F37ABF"/>
    <w:rsid w:val="00F444D3"/>
    <w:rsid w:val="00F5011D"/>
    <w:rsid w:val="00F5203B"/>
    <w:rsid w:val="00F526B0"/>
    <w:rsid w:val="00F61A51"/>
    <w:rsid w:val="00F6341E"/>
    <w:rsid w:val="00F7355A"/>
    <w:rsid w:val="00F84660"/>
    <w:rsid w:val="00F954A4"/>
    <w:rsid w:val="00FA0CFC"/>
    <w:rsid w:val="00FA3725"/>
    <w:rsid w:val="00FA4BCF"/>
    <w:rsid w:val="00FA639F"/>
    <w:rsid w:val="00FC3505"/>
    <w:rsid w:val="00FC53A4"/>
    <w:rsid w:val="00FD22F2"/>
    <w:rsid w:val="00FD4DD9"/>
    <w:rsid w:val="00FD5826"/>
    <w:rsid w:val="00FE1D7E"/>
    <w:rsid w:val="00FE2B9F"/>
    <w:rsid w:val="00FF4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7514A70"/>
  <w15:docId w15:val="{C0C44805-1941-4984-BC70-36B79890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C4"/>
    <w:rPr>
      <w:sz w:val="24"/>
      <w:szCs w:val="24"/>
    </w:rPr>
  </w:style>
  <w:style w:type="paragraph" w:styleId="Ttulo1">
    <w:name w:val="heading 1"/>
    <w:basedOn w:val="Normal"/>
    <w:link w:val="Ttulo1Car"/>
    <w:uiPriority w:val="9"/>
    <w:qFormat/>
    <w:rsid w:val="00B80E79"/>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35266"/>
    <w:pPr>
      <w:tabs>
        <w:tab w:val="center" w:pos="4419"/>
        <w:tab w:val="right" w:pos="8838"/>
      </w:tabs>
    </w:pPr>
  </w:style>
  <w:style w:type="character" w:customStyle="1" w:styleId="EncabezadoCar">
    <w:name w:val="Encabezado Car"/>
    <w:link w:val="Encabezado"/>
    <w:uiPriority w:val="99"/>
    <w:rsid w:val="00435266"/>
    <w:rPr>
      <w:sz w:val="24"/>
      <w:szCs w:val="24"/>
      <w:lang w:val="es-ES" w:eastAsia="es-ES"/>
    </w:rPr>
  </w:style>
  <w:style w:type="paragraph" w:styleId="Piedepgina">
    <w:name w:val="footer"/>
    <w:basedOn w:val="Normal"/>
    <w:link w:val="PiedepginaCar"/>
    <w:uiPriority w:val="99"/>
    <w:rsid w:val="00435266"/>
    <w:pPr>
      <w:tabs>
        <w:tab w:val="center" w:pos="4419"/>
        <w:tab w:val="right" w:pos="8838"/>
      </w:tabs>
    </w:pPr>
  </w:style>
  <w:style w:type="character" w:customStyle="1" w:styleId="PiedepginaCar">
    <w:name w:val="Pie de página Car"/>
    <w:link w:val="Piedepgina"/>
    <w:uiPriority w:val="99"/>
    <w:rsid w:val="00435266"/>
    <w:rPr>
      <w:sz w:val="24"/>
      <w:szCs w:val="24"/>
      <w:lang w:val="es-ES" w:eastAsia="es-ES"/>
    </w:rPr>
  </w:style>
  <w:style w:type="character" w:styleId="Hipervnculo">
    <w:name w:val="Hyperlink"/>
    <w:basedOn w:val="Fuentedeprrafopredeter"/>
    <w:uiPriority w:val="99"/>
    <w:rsid w:val="00CD5F05"/>
    <w:rPr>
      <w:color w:val="0000FF" w:themeColor="hyperlink"/>
      <w:u w:val="single"/>
    </w:rPr>
  </w:style>
  <w:style w:type="paragraph" w:styleId="Textodeglobo">
    <w:name w:val="Balloon Text"/>
    <w:basedOn w:val="Normal"/>
    <w:link w:val="TextodegloboCar"/>
    <w:uiPriority w:val="99"/>
    <w:rsid w:val="00CB1056"/>
    <w:rPr>
      <w:rFonts w:ascii="Tahoma" w:hAnsi="Tahoma" w:cs="Tahoma"/>
      <w:sz w:val="16"/>
      <w:szCs w:val="16"/>
    </w:rPr>
  </w:style>
  <w:style w:type="character" w:customStyle="1" w:styleId="TextodegloboCar">
    <w:name w:val="Texto de globo Car"/>
    <w:basedOn w:val="Fuentedeprrafopredeter"/>
    <w:link w:val="Textodeglobo"/>
    <w:uiPriority w:val="99"/>
    <w:rsid w:val="00CB1056"/>
    <w:rPr>
      <w:rFonts w:ascii="Tahoma" w:hAnsi="Tahoma" w:cs="Tahoma"/>
      <w:sz w:val="16"/>
      <w:szCs w:val="16"/>
    </w:rPr>
  </w:style>
  <w:style w:type="character" w:customStyle="1" w:styleId="Ttulo1Car">
    <w:name w:val="Título 1 Car"/>
    <w:basedOn w:val="Fuentedeprrafopredeter"/>
    <w:link w:val="Ttulo1"/>
    <w:uiPriority w:val="9"/>
    <w:rsid w:val="00B80E79"/>
    <w:rPr>
      <w:b/>
      <w:bCs/>
      <w:kern w:val="36"/>
      <w:sz w:val="48"/>
      <w:szCs w:val="48"/>
    </w:rPr>
  </w:style>
  <w:style w:type="paragraph" w:styleId="Prrafodelista">
    <w:name w:val="List Paragraph"/>
    <w:basedOn w:val="Normal"/>
    <w:uiPriority w:val="34"/>
    <w:qFormat/>
    <w:rsid w:val="00B80E79"/>
    <w:pPr>
      <w:spacing w:after="200" w:line="276" w:lineRule="auto"/>
      <w:ind w:left="720"/>
      <w:contextualSpacing/>
    </w:pPr>
    <w:rPr>
      <w:rFonts w:ascii="EHUSans" w:eastAsia="Calibri" w:hAnsi="EHUSans"/>
      <w:sz w:val="22"/>
      <w:szCs w:val="22"/>
      <w:lang w:eastAsia="en-US"/>
    </w:rPr>
  </w:style>
  <w:style w:type="character" w:customStyle="1" w:styleId="shorttext">
    <w:name w:val="short_text"/>
    <w:basedOn w:val="Fuentedeprrafopredeter"/>
    <w:rsid w:val="00B80E79"/>
  </w:style>
  <w:style w:type="character" w:customStyle="1" w:styleId="hps">
    <w:name w:val="hps"/>
    <w:basedOn w:val="Fuentedeprrafopredeter"/>
    <w:rsid w:val="00B80E79"/>
  </w:style>
  <w:style w:type="paragraph" w:styleId="Textonotapie">
    <w:name w:val="footnote text"/>
    <w:basedOn w:val="Normal"/>
    <w:link w:val="TextonotapieCar"/>
    <w:semiHidden/>
    <w:rsid w:val="00B80E79"/>
    <w:rPr>
      <w:sz w:val="20"/>
      <w:szCs w:val="20"/>
      <w:lang w:val="en-GB"/>
    </w:rPr>
  </w:style>
  <w:style w:type="character" w:customStyle="1" w:styleId="TextonotapieCar">
    <w:name w:val="Texto nota pie Car"/>
    <w:basedOn w:val="Fuentedeprrafopredeter"/>
    <w:link w:val="Textonotapie"/>
    <w:semiHidden/>
    <w:rsid w:val="00B80E79"/>
    <w:rPr>
      <w:lang w:val="en-GB"/>
    </w:rPr>
  </w:style>
  <w:style w:type="character" w:styleId="Refdenotaalpie">
    <w:name w:val="footnote reference"/>
    <w:basedOn w:val="Fuentedeprrafopredeter"/>
    <w:uiPriority w:val="99"/>
    <w:semiHidden/>
    <w:rsid w:val="00B80E79"/>
    <w:rPr>
      <w:vertAlign w:val="superscript"/>
    </w:rPr>
  </w:style>
  <w:style w:type="table" w:styleId="Tablaconcuadrcula">
    <w:name w:val="Table Grid"/>
    <w:basedOn w:val="Tablanormal"/>
    <w:uiPriority w:val="59"/>
    <w:rsid w:val="00B80E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80E79"/>
    <w:rPr>
      <w:sz w:val="16"/>
      <w:szCs w:val="16"/>
    </w:rPr>
  </w:style>
  <w:style w:type="paragraph" w:styleId="Textocomentario">
    <w:name w:val="annotation text"/>
    <w:basedOn w:val="Normal"/>
    <w:link w:val="TextocomentarioCar"/>
    <w:uiPriority w:val="99"/>
    <w:semiHidden/>
    <w:unhideWhenUsed/>
    <w:rsid w:val="00B80E79"/>
    <w:rPr>
      <w:sz w:val="20"/>
      <w:szCs w:val="20"/>
      <w:lang w:val="en-GB"/>
    </w:rPr>
  </w:style>
  <w:style w:type="character" w:customStyle="1" w:styleId="TextocomentarioCar">
    <w:name w:val="Texto comentario Car"/>
    <w:basedOn w:val="Fuentedeprrafopredeter"/>
    <w:link w:val="Textocomentario"/>
    <w:uiPriority w:val="99"/>
    <w:semiHidden/>
    <w:rsid w:val="00B80E79"/>
    <w:rPr>
      <w:lang w:val="en-GB"/>
    </w:rPr>
  </w:style>
  <w:style w:type="paragraph" w:styleId="Asuntodelcomentario">
    <w:name w:val="annotation subject"/>
    <w:basedOn w:val="Textocomentario"/>
    <w:next w:val="Textocomentario"/>
    <w:link w:val="AsuntodelcomentarioCar"/>
    <w:uiPriority w:val="99"/>
    <w:semiHidden/>
    <w:unhideWhenUsed/>
    <w:rsid w:val="00B80E79"/>
    <w:rPr>
      <w:b/>
      <w:bCs/>
    </w:rPr>
  </w:style>
  <w:style w:type="character" w:customStyle="1" w:styleId="AsuntodelcomentarioCar">
    <w:name w:val="Asunto del comentario Car"/>
    <w:basedOn w:val="TextocomentarioCar"/>
    <w:link w:val="Asuntodelcomentario"/>
    <w:uiPriority w:val="99"/>
    <w:semiHidden/>
    <w:rsid w:val="00B80E79"/>
    <w:rPr>
      <w:b/>
      <w:bCs/>
      <w:lang w:val="en-GB"/>
    </w:rPr>
  </w:style>
  <w:style w:type="character" w:customStyle="1" w:styleId="st">
    <w:name w:val="st"/>
    <w:basedOn w:val="Fuentedeprrafopredeter"/>
    <w:rsid w:val="00B80E79"/>
  </w:style>
  <w:style w:type="character" w:styleId="nfasis">
    <w:name w:val="Emphasis"/>
    <w:basedOn w:val="Fuentedeprrafopredeter"/>
    <w:uiPriority w:val="20"/>
    <w:qFormat/>
    <w:rsid w:val="00B80E79"/>
    <w:rPr>
      <w:i/>
      <w:iCs/>
    </w:rPr>
  </w:style>
  <w:style w:type="character" w:customStyle="1" w:styleId="highlight">
    <w:name w:val="highlight"/>
    <w:basedOn w:val="Fuentedeprrafopredeter"/>
    <w:rsid w:val="00B80E79"/>
  </w:style>
  <w:style w:type="paragraph" w:styleId="Revisin">
    <w:name w:val="Revision"/>
    <w:hidden/>
    <w:uiPriority w:val="99"/>
    <w:semiHidden/>
    <w:rsid w:val="00B80E79"/>
    <w:rPr>
      <w:sz w:val="28"/>
      <w:szCs w:val="28"/>
      <w:lang w:val="en-GB"/>
    </w:rPr>
  </w:style>
  <w:style w:type="paragraph" w:styleId="NormalWeb">
    <w:name w:val="Normal (Web)"/>
    <w:basedOn w:val="Normal"/>
    <w:uiPriority w:val="99"/>
    <w:semiHidden/>
    <w:unhideWhenUsed/>
    <w:rsid w:val="00B80E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file:///E:\4%20CONGRESOS\2017_AECR%20Sevilla\VPO\El%20Economista%20(2007)%20Promotores%20advierten%20encarecimiento%20precio%20terrenos%20y%20vivienda%20por%20nueva%20Ley,%20El%20Economista.es.%20Retrieved%20(June%2028)%20from%20http:\www.eleconomista.es" TargetMode="External"/><Relationship Id="rId18" Type="http://schemas.openxmlformats.org/officeDocument/2006/relationships/hyperlink" Target="file:///E:\4%20CONGRESOS\2017_AECR%20Sevilla\VPO\Navarra%20Confidencial%20(2012,%20December%2020)%20Vuelve%20el%20reverso%20tenebroso%20de%20las%20VPO.%20Navarraconficencial.com,%20Retrieved%20from%20http:\www.navarraconfidenci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sol.esteban@ehu.eus" TargetMode="External"/><Relationship Id="rId12" Type="http://schemas.openxmlformats.org/officeDocument/2006/relationships/hyperlink" Target="file:///E:\4%20CONGRESOS\2017_AECR%20Sevilla\VPO\Baza,%20N.%20(2008)%20Objetivo%20vivienda.%20Web%20del%20Ayuntamiento%20de%20Bilbao.%20Retrieved%20from%20http:\www.bilbao.eus" TargetMode="External"/><Relationship Id="rId17" Type="http://schemas.openxmlformats.org/officeDocument/2006/relationships/hyperlink" Target="file:///E:\4%20CONGRESOS\2017_AECR%20Sevilla\VPO\La%20Opini&#243;n%20de%20Murcia%20(2007)%20El%20PP%20de%20la%20Regi&#243;n%20cree%20que%20la%20Ley%20estatal%20del%20Suelo%20causar&#225;" TargetMode="External"/><Relationship Id="rId2" Type="http://schemas.openxmlformats.org/officeDocument/2006/relationships/styles" Target="styles.xml"/><Relationship Id="rId16" Type="http://schemas.openxmlformats.org/officeDocument/2006/relationships/hyperlink" Target="file:///E:\4%20CONGRESOS\2017_AECR%20Sevilla\VPO\Guardiola%20(2006)%20La%20Apecc%20augura%20que%20la%20Ley%20del%20Suelo%20encarecer&#225;%20todav&#237;a%20m&#225;s%20la%20vivienda,%20El%20Peri&#243;dico%20Mediterr&#225;neo,%20Retrieved%20(December%2010)%20from%20http:\www.elperiodicomediterrane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lpais.com/" TargetMode="External"/><Relationship Id="rId5" Type="http://schemas.openxmlformats.org/officeDocument/2006/relationships/footnotes" Target="footnotes.xml"/><Relationship Id="rId15" Type="http://schemas.openxmlformats.org/officeDocument/2006/relationships/hyperlink" Target="file://E:\4%20CONGRESOS\2017_AECR%20Sevilla\VPO\Garc&#237;a%20Montalvo,%20J.%20(1999)%20El%20precio%20del%20suelo:%20la%20pol&#233;mica%20interminable.%20Segunda%20Jornada%20sobre%20Nuevas%20Fronteras%20de%20la%20Pol&#237;tica%20Econ&#243;mica%20organizada%20por%20el%20Centre%20de%20Recerca%20en%20Econom&#237;a%20Internacional%20y%20La%20Vanguardia,%20Retrieved%20from%20http:\docplayer.es." TargetMode="External"/><Relationship Id="rId10" Type="http://schemas.openxmlformats.org/officeDocument/2006/relationships/chart" Target="charts/chart3.xml"/><Relationship Id="rId19" Type="http://schemas.openxmlformats.org/officeDocument/2006/relationships/hyperlink" Target="file:///E:\4%20CONGRESOS\2017_AECR%20Sevilla\VPO\Roca,%20J.%20(2008)%20Urbanismo%20y%20Vivienda.%20Santiago.%20Retrieved%20(September%20259%20from%20https:\www.researchgate.net"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file:///E:\4%20CONGRESOS\2017_AECR%20Sevilla\VPO\El%20Mundo%20(2006)%20Los%20promotores%20dicen%20que%20la%20nueva%20Ley%20del%20Suelo%20encarecer&#225;%20la%20vivienda.%20El%20Mundo.%20Retrieved%20(July%2020)%20from%20http:\www.elmundo.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mento.gob.es/MFOM/LANG_CASTELLANO/DIRECCIONES_GENERALES/ARQ_VIVIENDA/APOYO_EMANCIPACION/PLAN_ESTATAL.htm" TargetMode="External"/><Relationship Id="rId1" Type="http://schemas.openxmlformats.org/officeDocument/2006/relationships/hyperlink" Target="http://www.congreso.es/portal/page/portal/Congreso/PopUpCGI?CMD=VERLST&amp;BASE=puw8&amp;FMT=PUWTXDTS.fmt&amp;DOCS=1-1&amp;DOCORDER=LIFO&amp;QUERY=%28CDA20060908009601.CODI.%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G:\6%20VPO\vpo_preci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6%20VPO\vpo_preci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vpo_prec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Hoja1!$B$1</c:f>
              <c:strCache>
                <c:ptCount val="1"/>
                <c:pt idx="0">
                  <c:v>Market dwellings</c:v>
                </c:pt>
              </c:strCache>
            </c:strRef>
          </c:tx>
          <c:spPr>
            <a:solidFill>
              <a:schemeClr val="bg1">
                <a:lumMod val="65000"/>
              </a:schemeClr>
            </a:solidFill>
          </c:spPr>
          <c:invertIfNegative val="0"/>
          <c:cat>
            <c:numRef>
              <c:f>Hoja1!$A$2:$A$17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Hoja1!$B$2:$B$17</c:f>
              <c:numCache>
                <c:formatCode>General</c:formatCode>
                <c:ptCount val="16"/>
                <c:pt idx="0">
                  <c:v>440207</c:v>
                </c:pt>
                <c:pt idx="1">
                  <c:v>543145</c:v>
                </c:pt>
                <c:pt idx="2">
                  <c:v>616108</c:v>
                </c:pt>
                <c:pt idx="3">
                  <c:v>629851</c:v>
                </c:pt>
                <c:pt idx="4">
                  <c:v>833199</c:v>
                </c:pt>
                <c:pt idx="5">
                  <c:v>1022076</c:v>
                </c:pt>
                <c:pt idx="6">
                  <c:v>1272935</c:v>
                </c:pt>
                <c:pt idx="7">
                  <c:v>1353023</c:v>
                </c:pt>
                <c:pt idx="8">
                  <c:v>1294846</c:v>
                </c:pt>
                <c:pt idx="9">
                  <c:v>1413090</c:v>
                </c:pt>
                <c:pt idx="10">
                  <c:v>1466742</c:v>
                </c:pt>
                <c:pt idx="11">
                  <c:v>1645577</c:v>
                </c:pt>
                <c:pt idx="12">
                  <c:v>1624127</c:v>
                </c:pt>
                <c:pt idx="13">
                  <c:v>1584072</c:v>
                </c:pt>
                <c:pt idx="14">
                  <c:v>991512</c:v>
                </c:pt>
                <c:pt idx="15">
                  <c:v>609510</c:v>
                </c:pt>
              </c:numCache>
            </c:numRef>
          </c:val>
          <c:extLst>
            <c:ext xmlns:c16="http://schemas.microsoft.com/office/drawing/2014/chart" uri="{C3380CC4-5D6E-409C-BE32-E72D297353CC}">
              <c16:uniqueId val="{00000000-2C39-4668-B1B6-729B890B3387}"/>
            </c:ext>
          </c:extLst>
        </c:ser>
        <c:ser>
          <c:idx val="1"/>
          <c:order val="1"/>
          <c:tx>
            <c:strRef>
              <c:f>Hoja1!$C$1</c:f>
              <c:strCache>
                <c:ptCount val="1"/>
                <c:pt idx="0">
                  <c:v>Affordable dwellings</c:v>
                </c:pt>
              </c:strCache>
            </c:strRef>
          </c:tx>
          <c:spPr>
            <a:solidFill>
              <a:schemeClr val="tx1"/>
            </a:solidFill>
          </c:spPr>
          <c:invertIfNegative val="0"/>
          <c:cat>
            <c:numRef>
              <c:f>Hoja1!$A$2:$A$17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Hoja1!$C$2:$C$17</c:f>
              <c:numCache>
                <c:formatCode>General</c:formatCode>
                <c:ptCount val="16"/>
                <c:pt idx="0">
                  <c:v>196187</c:v>
                </c:pt>
                <c:pt idx="1">
                  <c:v>214823</c:v>
                </c:pt>
                <c:pt idx="2">
                  <c:v>228476</c:v>
                </c:pt>
                <c:pt idx="3">
                  <c:v>203509</c:v>
                </c:pt>
                <c:pt idx="4">
                  <c:v>153357</c:v>
                </c:pt>
                <c:pt idx="5">
                  <c:v>146135</c:v>
                </c:pt>
                <c:pt idx="6">
                  <c:v>150500</c:v>
                </c:pt>
                <c:pt idx="7">
                  <c:v>104363</c:v>
                </c:pt>
                <c:pt idx="8">
                  <c:v>116510</c:v>
                </c:pt>
                <c:pt idx="9">
                  <c:v>146752</c:v>
                </c:pt>
                <c:pt idx="10">
                  <c:v>169905</c:v>
                </c:pt>
                <c:pt idx="11">
                  <c:v>160934</c:v>
                </c:pt>
                <c:pt idx="12">
                  <c:v>175247</c:v>
                </c:pt>
                <c:pt idx="13">
                  <c:v>181478</c:v>
                </c:pt>
                <c:pt idx="14">
                  <c:v>175208</c:v>
                </c:pt>
                <c:pt idx="15">
                  <c:v>153600</c:v>
                </c:pt>
              </c:numCache>
            </c:numRef>
          </c:val>
          <c:extLst>
            <c:ext xmlns:c16="http://schemas.microsoft.com/office/drawing/2014/chart" uri="{C3380CC4-5D6E-409C-BE32-E72D297353CC}">
              <c16:uniqueId val="{00000001-2C39-4668-B1B6-729B890B3387}"/>
            </c:ext>
          </c:extLst>
        </c:ser>
        <c:dLbls>
          <c:showLegendKey val="0"/>
          <c:showVal val="0"/>
          <c:showCatName val="0"/>
          <c:showSerName val="0"/>
          <c:showPercent val="0"/>
          <c:showBubbleSize val="0"/>
        </c:dLbls>
        <c:gapWidth val="150"/>
        <c:overlap val="100"/>
        <c:axId val="54281728"/>
        <c:axId val="54283648"/>
      </c:barChart>
      <c:lineChart>
        <c:grouping val="standard"/>
        <c:varyColors val="0"/>
        <c:ser>
          <c:idx val="2"/>
          <c:order val="2"/>
          <c:tx>
            <c:strRef>
              <c:f>Hoja1!$D$1</c:f>
              <c:strCache>
                <c:ptCount val="1"/>
                <c:pt idx="0">
                  <c:v>Real Housing prices</c:v>
                </c:pt>
              </c:strCache>
            </c:strRef>
          </c:tx>
          <c:spPr>
            <a:ln>
              <a:solidFill>
                <a:sysClr val="windowText" lastClr="000000"/>
              </a:solidFill>
              <a:prstDash val="sysDot"/>
            </a:ln>
          </c:spPr>
          <c:marker>
            <c:symbol val="none"/>
          </c:marker>
          <c:cat>
            <c:numRef>
              <c:f>Hoja1!$A$2:$A$17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Hoja1!$D$2:$D$17</c:f>
              <c:numCache>
                <c:formatCode>0.0</c:formatCode>
                <c:ptCount val="16"/>
                <c:pt idx="0">
                  <c:v>592.0951</c:v>
                </c:pt>
                <c:pt idx="1">
                  <c:v>601.51800000000003</c:v>
                </c:pt>
                <c:pt idx="2">
                  <c:v>613.43439999999998</c:v>
                </c:pt>
                <c:pt idx="3">
                  <c:v>662.56889999999999</c:v>
                </c:pt>
                <c:pt idx="4">
                  <c:v>732.43119999999794</c:v>
                </c:pt>
                <c:pt idx="5">
                  <c:v>822.3098</c:v>
                </c:pt>
                <c:pt idx="6">
                  <c:v>921.43279999999947</c:v>
                </c:pt>
                <c:pt idx="7">
                  <c:v>1040.569</c:v>
                </c:pt>
                <c:pt idx="8">
                  <c:v>1173.6899999999998</c:v>
                </c:pt>
                <c:pt idx="9">
                  <c:v>1354.4110000000001</c:v>
                </c:pt>
                <c:pt idx="10">
                  <c:v>1507.0519999999999</c:v>
                </c:pt>
                <c:pt idx="11">
                  <c:v>1656.375</c:v>
                </c:pt>
                <c:pt idx="12">
                  <c:v>1735.8219999999999</c:v>
                </c:pt>
                <c:pt idx="13">
                  <c:v>1689.067</c:v>
                </c:pt>
                <c:pt idx="14">
                  <c:v>1589.049</c:v>
                </c:pt>
                <c:pt idx="15">
                  <c:v>1555.963</c:v>
                </c:pt>
              </c:numCache>
            </c:numRef>
          </c:val>
          <c:smooth val="0"/>
          <c:extLst>
            <c:ext xmlns:c16="http://schemas.microsoft.com/office/drawing/2014/chart" uri="{C3380CC4-5D6E-409C-BE32-E72D297353CC}">
              <c16:uniqueId val="{00000002-2C39-4668-B1B6-729B890B3387}"/>
            </c:ext>
          </c:extLst>
        </c:ser>
        <c:dLbls>
          <c:showLegendKey val="0"/>
          <c:showVal val="0"/>
          <c:showCatName val="0"/>
          <c:showSerName val="0"/>
          <c:showPercent val="0"/>
          <c:showBubbleSize val="0"/>
        </c:dLbls>
        <c:marker val="1"/>
        <c:smooth val="0"/>
        <c:axId val="54295168"/>
        <c:axId val="54293632"/>
      </c:lineChart>
      <c:catAx>
        <c:axId val="54281728"/>
        <c:scaling>
          <c:orientation val="minMax"/>
        </c:scaling>
        <c:delete val="0"/>
        <c:axPos val="b"/>
        <c:numFmt formatCode="General" sourceLinked="1"/>
        <c:majorTickMark val="out"/>
        <c:minorTickMark val="none"/>
        <c:tickLblPos val="nextTo"/>
        <c:crossAx val="54283648"/>
        <c:crosses val="autoZero"/>
        <c:auto val="1"/>
        <c:lblAlgn val="ctr"/>
        <c:lblOffset val="100"/>
        <c:noMultiLvlLbl val="0"/>
      </c:catAx>
      <c:valAx>
        <c:axId val="54283648"/>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54281728"/>
        <c:crosses val="autoZero"/>
        <c:crossBetween val="between"/>
        <c:majorUnit val="200000"/>
      </c:valAx>
      <c:valAx>
        <c:axId val="54293632"/>
        <c:scaling>
          <c:orientation val="minMax"/>
        </c:scaling>
        <c:delete val="0"/>
        <c:axPos val="r"/>
        <c:numFmt formatCode="0" sourceLinked="0"/>
        <c:majorTickMark val="out"/>
        <c:minorTickMark val="none"/>
        <c:tickLblPos val="nextTo"/>
        <c:crossAx val="54295168"/>
        <c:crosses val="max"/>
        <c:crossBetween val="between"/>
      </c:valAx>
      <c:catAx>
        <c:axId val="54295168"/>
        <c:scaling>
          <c:orientation val="minMax"/>
        </c:scaling>
        <c:delete val="1"/>
        <c:axPos val="b"/>
        <c:numFmt formatCode="General" sourceLinked="1"/>
        <c:majorTickMark val="out"/>
        <c:minorTickMark val="none"/>
        <c:tickLblPos val="none"/>
        <c:crossAx val="54293632"/>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1"/>
          <c:tx>
            <c:strRef>
              <c:f>Hoja1!$D$1</c:f>
              <c:strCache>
                <c:ptCount val="1"/>
                <c:pt idx="0">
                  <c:v>Real Housing prices</c:v>
                </c:pt>
              </c:strCache>
            </c:strRef>
          </c:tx>
          <c:spPr>
            <a:ln>
              <a:solidFill>
                <a:sysClr val="windowText" lastClr="000000"/>
              </a:solidFill>
              <a:prstDash val="sysDot"/>
            </a:ln>
          </c:spPr>
          <c:marker>
            <c:symbol val="none"/>
          </c:marker>
          <c:cat>
            <c:numRef>
              <c:f>Hoja1!$A$2:$A$17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Hoja1!$D$2:$D$17</c:f>
              <c:numCache>
                <c:formatCode>0.0</c:formatCode>
                <c:ptCount val="16"/>
                <c:pt idx="0">
                  <c:v>592.0951</c:v>
                </c:pt>
                <c:pt idx="1">
                  <c:v>601.51800000000003</c:v>
                </c:pt>
                <c:pt idx="2">
                  <c:v>613.43439999999998</c:v>
                </c:pt>
                <c:pt idx="3">
                  <c:v>662.56889999999999</c:v>
                </c:pt>
                <c:pt idx="4">
                  <c:v>732.43119999999794</c:v>
                </c:pt>
                <c:pt idx="5">
                  <c:v>822.3098</c:v>
                </c:pt>
                <c:pt idx="6">
                  <c:v>921.43279999999947</c:v>
                </c:pt>
                <c:pt idx="7">
                  <c:v>1040.569</c:v>
                </c:pt>
                <c:pt idx="8">
                  <c:v>1173.6899999999998</c:v>
                </c:pt>
                <c:pt idx="9">
                  <c:v>1354.4110000000001</c:v>
                </c:pt>
                <c:pt idx="10">
                  <c:v>1507.0519999999999</c:v>
                </c:pt>
                <c:pt idx="11">
                  <c:v>1656.375</c:v>
                </c:pt>
                <c:pt idx="12">
                  <c:v>1735.8219999999999</c:v>
                </c:pt>
                <c:pt idx="13">
                  <c:v>1689.067</c:v>
                </c:pt>
                <c:pt idx="14">
                  <c:v>1589.049</c:v>
                </c:pt>
                <c:pt idx="15">
                  <c:v>1555.963</c:v>
                </c:pt>
              </c:numCache>
            </c:numRef>
          </c:val>
          <c:smooth val="0"/>
          <c:extLst>
            <c:ext xmlns:c16="http://schemas.microsoft.com/office/drawing/2014/chart" uri="{C3380CC4-5D6E-409C-BE32-E72D297353CC}">
              <c16:uniqueId val="{00000000-2E76-44EF-9268-50CB03154FC9}"/>
            </c:ext>
          </c:extLst>
        </c:ser>
        <c:dLbls>
          <c:showLegendKey val="0"/>
          <c:showVal val="0"/>
          <c:showCatName val="0"/>
          <c:showSerName val="0"/>
          <c:showPercent val="0"/>
          <c:showBubbleSize val="0"/>
        </c:dLbls>
        <c:marker val="1"/>
        <c:smooth val="0"/>
        <c:axId val="71083136"/>
        <c:axId val="71084672"/>
      </c:lineChart>
      <c:lineChart>
        <c:grouping val="standard"/>
        <c:varyColors val="0"/>
        <c:ser>
          <c:idx val="3"/>
          <c:order val="0"/>
          <c:tx>
            <c:strRef>
              <c:f>Hoja1!$E$1</c:f>
              <c:strCache>
                <c:ptCount val="1"/>
                <c:pt idx="0">
                  <c:v>Ratio of affordable to market dwelling completions</c:v>
                </c:pt>
              </c:strCache>
            </c:strRef>
          </c:tx>
          <c:spPr>
            <a:ln w="19050">
              <a:solidFill>
                <a:schemeClr val="tx1"/>
              </a:solidFill>
            </a:ln>
          </c:spPr>
          <c:marker>
            <c:symbol val="none"/>
          </c:marker>
          <c:cat>
            <c:numRef>
              <c:f>Hoja1!$A$2:$A$17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Hoja1!$E$2:$E$17</c:f>
              <c:numCache>
                <c:formatCode>General</c:formatCode>
                <c:ptCount val="16"/>
                <c:pt idx="0" formatCode="0.0">
                  <c:v>0.44566987803465291</c:v>
                </c:pt>
                <c:pt idx="1">
                  <c:v>0.39551685093299366</c:v>
                </c:pt>
                <c:pt idx="2">
                  <c:v>0.37083758042421217</c:v>
                </c:pt>
                <c:pt idx="3">
                  <c:v>0.32310657599972276</c:v>
                </c:pt>
                <c:pt idx="4">
                  <c:v>0.18405807016090994</c:v>
                </c:pt>
                <c:pt idx="5">
                  <c:v>0.1429786043307934</c:v>
                </c:pt>
                <c:pt idx="6">
                  <c:v>0.11823070306025099</c:v>
                </c:pt>
                <c:pt idx="7">
                  <c:v>7.7133204683142914E-2</c:v>
                </c:pt>
                <c:pt idx="8">
                  <c:v>8.997981227111175E-2</c:v>
                </c:pt>
                <c:pt idx="9">
                  <c:v>0.10385184241626506</c:v>
                </c:pt>
                <c:pt idx="10">
                  <c:v>0.11583836830199148</c:v>
                </c:pt>
                <c:pt idx="11">
                  <c:v>9.7797915260118495E-2</c:v>
                </c:pt>
                <c:pt idx="12">
                  <c:v>0.10790227611510676</c:v>
                </c:pt>
                <c:pt idx="13">
                  <c:v>0.11456423697912722</c:v>
                </c:pt>
                <c:pt idx="14">
                  <c:v>0.17670789662656641</c:v>
                </c:pt>
                <c:pt idx="15">
                  <c:v>0.25200570950435597</c:v>
                </c:pt>
              </c:numCache>
            </c:numRef>
          </c:val>
          <c:smooth val="1"/>
          <c:extLst>
            <c:ext xmlns:c16="http://schemas.microsoft.com/office/drawing/2014/chart" uri="{C3380CC4-5D6E-409C-BE32-E72D297353CC}">
              <c16:uniqueId val="{00000001-2E76-44EF-9268-50CB03154FC9}"/>
            </c:ext>
          </c:extLst>
        </c:ser>
        <c:dLbls>
          <c:showLegendKey val="0"/>
          <c:showVal val="0"/>
          <c:showCatName val="0"/>
          <c:showSerName val="0"/>
          <c:showPercent val="0"/>
          <c:showBubbleSize val="0"/>
        </c:dLbls>
        <c:marker val="1"/>
        <c:smooth val="0"/>
        <c:axId val="77965568"/>
        <c:axId val="77963648"/>
      </c:lineChart>
      <c:catAx>
        <c:axId val="71083136"/>
        <c:scaling>
          <c:orientation val="minMax"/>
        </c:scaling>
        <c:delete val="0"/>
        <c:axPos val="b"/>
        <c:numFmt formatCode="General" sourceLinked="1"/>
        <c:majorTickMark val="out"/>
        <c:minorTickMark val="none"/>
        <c:tickLblPos val="nextTo"/>
        <c:txPr>
          <a:bodyPr rot="-5400000" vert="horz"/>
          <a:lstStyle/>
          <a:p>
            <a:pPr>
              <a:defRPr/>
            </a:pPr>
            <a:endParaRPr lang="es-ES"/>
          </a:p>
        </c:txPr>
        <c:crossAx val="71084672"/>
        <c:crosses val="autoZero"/>
        <c:auto val="1"/>
        <c:lblAlgn val="ctr"/>
        <c:lblOffset val="100"/>
        <c:noMultiLvlLbl val="0"/>
      </c:catAx>
      <c:valAx>
        <c:axId val="71084672"/>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71083136"/>
        <c:crosses val="autoZero"/>
        <c:crossBetween val="between"/>
        <c:majorUnit val="200"/>
      </c:valAx>
      <c:valAx>
        <c:axId val="77963648"/>
        <c:scaling>
          <c:orientation val="minMax"/>
        </c:scaling>
        <c:delete val="0"/>
        <c:axPos val="r"/>
        <c:numFmt formatCode="0.0" sourceLinked="1"/>
        <c:majorTickMark val="out"/>
        <c:minorTickMark val="none"/>
        <c:tickLblPos val="nextTo"/>
        <c:crossAx val="77965568"/>
        <c:crosses val="max"/>
        <c:crossBetween val="between"/>
        <c:majorUnit val="0.05"/>
      </c:valAx>
      <c:catAx>
        <c:axId val="77965568"/>
        <c:scaling>
          <c:orientation val="minMax"/>
        </c:scaling>
        <c:delete val="1"/>
        <c:axPos val="b"/>
        <c:numFmt formatCode="General" sourceLinked="1"/>
        <c:majorTickMark val="out"/>
        <c:minorTickMark val="none"/>
        <c:tickLblPos val="none"/>
        <c:crossAx val="77963648"/>
        <c:crosses val="autoZero"/>
        <c:auto val="1"/>
        <c:lblAlgn val="ctr"/>
        <c:lblOffset val="100"/>
        <c:noMultiLvlLbl val="0"/>
      </c:catAx>
    </c:plotArea>
    <c:legend>
      <c:legendPos val="b"/>
      <c:layout/>
      <c:overlay val="0"/>
    </c:legend>
    <c:plotVisOnly val="1"/>
    <c:dispBlanksAs val="gap"/>
    <c:showDLblsOverMax val="0"/>
  </c:chart>
  <c:txPr>
    <a:bodyPr/>
    <a:lstStyle/>
    <a:p>
      <a:pPr>
        <a:defRPr sz="900"/>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vpo!$B$5</c:f>
              <c:strCache>
                <c:ptCount val="1"/>
                <c:pt idx="0">
                  <c:v>Spain</c:v>
                </c:pt>
              </c:strCache>
            </c:strRef>
          </c:tx>
          <c:spPr>
            <a:ln w="28575" cmpd="thickThin">
              <a:solidFill>
                <a:sysClr val="windowText" lastClr="000000"/>
              </a:solidFill>
            </a:ln>
          </c:spPr>
          <c:marker>
            <c:symbol val="none"/>
          </c:marker>
          <c:cat>
            <c:numRef>
              <c:f>vpo!$A$6:$A$21</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vpo!$B$6:$B$21</c:f>
              <c:numCache>
                <c:formatCode>0.000</c:formatCode>
                <c:ptCount val="16"/>
                <c:pt idx="0">
                  <c:v>0.45357470000000094</c:v>
                </c:pt>
                <c:pt idx="1">
                  <c:v>0.39361630000000142</c:v>
                </c:pt>
                <c:pt idx="2">
                  <c:v>0.36353960000000002</c:v>
                </c:pt>
                <c:pt idx="3">
                  <c:v>0.34248450000000136</c:v>
                </c:pt>
                <c:pt idx="4">
                  <c:v>0.18815620000000041</c:v>
                </c:pt>
                <c:pt idx="5">
                  <c:v>0.15683410000000053</c:v>
                </c:pt>
                <c:pt idx="6">
                  <c:v>0.13704810000000056</c:v>
                </c:pt>
                <c:pt idx="7">
                  <c:v>9.8827700000000226E-2</c:v>
                </c:pt>
                <c:pt idx="8">
                  <c:v>0.1166226000000003</c:v>
                </c:pt>
                <c:pt idx="9">
                  <c:v>0.11471210000000009</c:v>
                </c:pt>
                <c:pt idx="10">
                  <c:v>0.15628150000000021</c:v>
                </c:pt>
                <c:pt idx="11">
                  <c:v>0.14737800000000001</c:v>
                </c:pt>
                <c:pt idx="12">
                  <c:v>0.15240190000000056</c:v>
                </c:pt>
                <c:pt idx="13">
                  <c:v>0.15262709999999999</c:v>
                </c:pt>
                <c:pt idx="14">
                  <c:v>0.21226170000000041</c:v>
                </c:pt>
                <c:pt idx="15">
                  <c:v>0.28866140000000001</c:v>
                </c:pt>
              </c:numCache>
            </c:numRef>
          </c:val>
          <c:smooth val="1"/>
          <c:extLst>
            <c:ext xmlns:c16="http://schemas.microsoft.com/office/drawing/2014/chart" uri="{C3380CC4-5D6E-409C-BE32-E72D297353CC}">
              <c16:uniqueId val="{00000000-2803-4F99-B435-E9A0A4798CF2}"/>
            </c:ext>
          </c:extLst>
        </c:ser>
        <c:ser>
          <c:idx val="5"/>
          <c:order val="1"/>
          <c:tx>
            <c:strRef>
              <c:f>vpo!$F$5</c:f>
              <c:strCache>
                <c:ptCount val="1"/>
                <c:pt idx="0">
                  <c:v>Madrid</c:v>
                </c:pt>
              </c:strCache>
            </c:strRef>
          </c:tx>
          <c:spPr>
            <a:ln>
              <a:solidFill>
                <a:sysClr val="windowText" lastClr="000000"/>
              </a:solidFill>
              <a:prstDash val="sysDot"/>
            </a:ln>
          </c:spPr>
          <c:marker>
            <c:symbol val="none"/>
          </c:marker>
          <c:cat>
            <c:numRef>
              <c:f>vpo!$A$6:$A$21</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vpo!$F$6:$F$21</c:f>
              <c:numCache>
                <c:formatCode>0.000</c:formatCode>
                <c:ptCount val="16"/>
                <c:pt idx="0">
                  <c:v>2.7011000000000104E-2</c:v>
                </c:pt>
                <c:pt idx="1">
                  <c:v>4.2258400000000002E-2</c:v>
                </c:pt>
                <c:pt idx="2">
                  <c:v>5.1522199999999997E-2</c:v>
                </c:pt>
                <c:pt idx="3">
                  <c:v>0.11729000000000027</c:v>
                </c:pt>
                <c:pt idx="4">
                  <c:v>0.20669799999999999</c:v>
                </c:pt>
                <c:pt idx="5">
                  <c:v>0.20957390000000001</c:v>
                </c:pt>
                <c:pt idx="6">
                  <c:v>0.23117119999999997</c:v>
                </c:pt>
                <c:pt idx="7">
                  <c:v>0.24069940000000056</c:v>
                </c:pt>
                <c:pt idx="8">
                  <c:v>0.28905360000000002</c:v>
                </c:pt>
                <c:pt idx="9">
                  <c:v>0.36430370000000106</c:v>
                </c:pt>
                <c:pt idx="10">
                  <c:v>0.42170090000000032</c:v>
                </c:pt>
                <c:pt idx="11">
                  <c:v>0.47908230000000124</c:v>
                </c:pt>
                <c:pt idx="12">
                  <c:v>0.50449909999999998</c:v>
                </c:pt>
                <c:pt idx="13">
                  <c:v>0.51062850000000004</c:v>
                </c:pt>
                <c:pt idx="14">
                  <c:v>0.80259219999999787</c:v>
                </c:pt>
                <c:pt idx="15">
                  <c:v>1.129659</c:v>
                </c:pt>
              </c:numCache>
            </c:numRef>
          </c:val>
          <c:smooth val="1"/>
          <c:extLst>
            <c:ext xmlns:c16="http://schemas.microsoft.com/office/drawing/2014/chart" uri="{C3380CC4-5D6E-409C-BE32-E72D297353CC}">
              <c16:uniqueId val="{00000001-2803-4F99-B435-E9A0A4798CF2}"/>
            </c:ext>
          </c:extLst>
        </c:ser>
        <c:ser>
          <c:idx val="6"/>
          <c:order val="2"/>
          <c:tx>
            <c:strRef>
              <c:f>vpo!$G$5</c:f>
              <c:strCache>
                <c:ptCount val="1"/>
                <c:pt idx="0">
                  <c:v>Barcelona </c:v>
                </c:pt>
              </c:strCache>
            </c:strRef>
          </c:tx>
          <c:spPr>
            <a:ln>
              <a:solidFill>
                <a:sysClr val="windowText" lastClr="000000"/>
              </a:solidFill>
              <a:prstDash val="sysDash"/>
            </a:ln>
          </c:spPr>
          <c:marker>
            <c:symbol val="none"/>
          </c:marker>
          <c:cat>
            <c:numRef>
              <c:f>vpo!$A$6:$A$21</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vpo!$G$6:$G$21</c:f>
              <c:numCache>
                <c:formatCode>0.000</c:formatCode>
                <c:ptCount val="16"/>
                <c:pt idx="0">
                  <c:v>2.2553199999999999E-2</c:v>
                </c:pt>
                <c:pt idx="1">
                  <c:v>2.6309900000000056E-2</c:v>
                </c:pt>
                <c:pt idx="2">
                  <c:v>3.9135600000000006E-2</c:v>
                </c:pt>
                <c:pt idx="3">
                  <c:v>6.2249299999999987E-2</c:v>
                </c:pt>
                <c:pt idx="4">
                  <c:v>6.6194100000000006E-2</c:v>
                </c:pt>
                <c:pt idx="5">
                  <c:v>6.9539599999999993E-2</c:v>
                </c:pt>
                <c:pt idx="6">
                  <c:v>8.0176900000000023E-2</c:v>
                </c:pt>
                <c:pt idx="7">
                  <c:v>8.177319999999999E-2</c:v>
                </c:pt>
                <c:pt idx="8">
                  <c:v>8.5719100000000006E-2</c:v>
                </c:pt>
                <c:pt idx="9">
                  <c:v>9.7529300000000263E-2</c:v>
                </c:pt>
                <c:pt idx="10">
                  <c:v>0.11019020000000022</c:v>
                </c:pt>
                <c:pt idx="11">
                  <c:v>0.1305896</c:v>
                </c:pt>
                <c:pt idx="12">
                  <c:v>0.15497759999999999</c:v>
                </c:pt>
                <c:pt idx="13">
                  <c:v>0.15675830000000077</c:v>
                </c:pt>
                <c:pt idx="14">
                  <c:v>0.20098590000000024</c:v>
                </c:pt>
                <c:pt idx="15">
                  <c:v>0.36167390000000038</c:v>
                </c:pt>
              </c:numCache>
            </c:numRef>
          </c:val>
          <c:smooth val="0"/>
          <c:extLst>
            <c:ext xmlns:c16="http://schemas.microsoft.com/office/drawing/2014/chart" uri="{C3380CC4-5D6E-409C-BE32-E72D297353CC}">
              <c16:uniqueId val="{00000002-2803-4F99-B435-E9A0A4798CF2}"/>
            </c:ext>
          </c:extLst>
        </c:ser>
        <c:ser>
          <c:idx val="7"/>
          <c:order val="3"/>
          <c:tx>
            <c:strRef>
              <c:f>vpo!$H$5</c:f>
              <c:strCache>
                <c:ptCount val="1"/>
                <c:pt idx="0">
                  <c:v>Malaga</c:v>
                </c:pt>
              </c:strCache>
            </c:strRef>
          </c:tx>
          <c:spPr>
            <a:ln w="25400">
              <a:solidFill>
                <a:schemeClr val="bg1">
                  <a:lumMod val="75000"/>
                </a:schemeClr>
              </a:solidFill>
              <a:prstDash val="solid"/>
            </a:ln>
          </c:spPr>
          <c:marker>
            <c:symbol val="none"/>
          </c:marker>
          <c:cat>
            <c:numRef>
              <c:f>vpo!$A$6:$A$21</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vpo!$H$6:$H$21</c:f>
              <c:numCache>
                <c:formatCode>0.000</c:formatCode>
                <c:ptCount val="16"/>
                <c:pt idx="0">
                  <c:v>7.3255999999999998E-3</c:v>
                </c:pt>
                <c:pt idx="1">
                  <c:v>1.66391E-2</c:v>
                </c:pt>
                <c:pt idx="2">
                  <c:v>1.7297E-2</c:v>
                </c:pt>
                <c:pt idx="3">
                  <c:v>2.8918599999999968E-2</c:v>
                </c:pt>
                <c:pt idx="4">
                  <c:v>2.9203000000000052E-2</c:v>
                </c:pt>
                <c:pt idx="5">
                  <c:v>3.3670600000000002E-2</c:v>
                </c:pt>
                <c:pt idx="6">
                  <c:v>4.7234199999999997E-2</c:v>
                </c:pt>
                <c:pt idx="7">
                  <c:v>5.9532700000000237E-2</c:v>
                </c:pt>
                <c:pt idx="8">
                  <c:v>6.0164800000000004E-2</c:v>
                </c:pt>
                <c:pt idx="9">
                  <c:v>6.2580200000000002E-2</c:v>
                </c:pt>
                <c:pt idx="10">
                  <c:v>0.15865380000000001</c:v>
                </c:pt>
                <c:pt idx="11">
                  <c:v>0.16089899999999999</c:v>
                </c:pt>
                <c:pt idx="12">
                  <c:v>0.29853000000000002</c:v>
                </c:pt>
                <c:pt idx="13">
                  <c:v>0.445855</c:v>
                </c:pt>
                <c:pt idx="14">
                  <c:v>0.5841269999999974</c:v>
                </c:pt>
                <c:pt idx="15">
                  <c:v>0.68684550000000189</c:v>
                </c:pt>
              </c:numCache>
            </c:numRef>
          </c:val>
          <c:smooth val="1"/>
          <c:extLst>
            <c:ext xmlns:c16="http://schemas.microsoft.com/office/drawing/2014/chart" uri="{C3380CC4-5D6E-409C-BE32-E72D297353CC}">
              <c16:uniqueId val="{00000003-2803-4F99-B435-E9A0A4798CF2}"/>
            </c:ext>
          </c:extLst>
        </c:ser>
        <c:ser>
          <c:idx val="0"/>
          <c:order val="4"/>
          <c:tx>
            <c:v>Alava</c:v>
          </c:tx>
          <c:spPr>
            <a:ln w="3175">
              <a:solidFill>
                <a:schemeClr val="tx1"/>
              </a:solidFill>
            </a:ln>
          </c:spPr>
          <c:marker>
            <c:symbol val="none"/>
          </c:marker>
          <c:val>
            <c:numRef>
              <c:f>vpo!$D$6:$D$21</c:f>
              <c:numCache>
                <c:formatCode>0.000</c:formatCode>
                <c:ptCount val="16"/>
                <c:pt idx="0">
                  <c:v>0.17085220000000001</c:v>
                </c:pt>
                <c:pt idx="1">
                  <c:v>0.28929120000000003</c:v>
                </c:pt>
                <c:pt idx="2">
                  <c:v>0.33644860000000176</c:v>
                </c:pt>
                <c:pt idx="3">
                  <c:v>0.37164750000000002</c:v>
                </c:pt>
                <c:pt idx="4">
                  <c:v>0.38352590000000142</c:v>
                </c:pt>
                <c:pt idx="5">
                  <c:v>0.39600890000000188</c:v>
                </c:pt>
                <c:pt idx="6">
                  <c:v>0.39907910000000124</c:v>
                </c:pt>
                <c:pt idx="7">
                  <c:v>0.41930120000000032</c:v>
                </c:pt>
                <c:pt idx="8">
                  <c:v>0.42485870000000142</c:v>
                </c:pt>
                <c:pt idx="9">
                  <c:v>0.43329250000000002</c:v>
                </c:pt>
                <c:pt idx="10">
                  <c:v>0.48516950000000031</c:v>
                </c:pt>
                <c:pt idx="11">
                  <c:v>0.7383345</c:v>
                </c:pt>
                <c:pt idx="12">
                  <c:v>0.79372039999999999</c:v>
                </c:pt>
                <c:pt idx="13">
                  <c:v>1.136592</c:v>
                </c:pt>
                <c:pt idx="14">
                  <c:v>1.2170389999999998</c:v>
                </c:pt>
                <c:pt idx="15">
                  <c:v>4.405195</c:v>
                </c:pt>
              </c:numCache>
            </c:numRef>
          </c:val>
          <c:smooth val="0"/>
          <c:extLst>
            <c:ext xmlns:c16="http://schemas.microsoft.com/office/drawing/2014/chart" uri="{C3380CC4-5D6E-409C-BE32-E72D297353CC}">
              <c16:uniqueId val="{00000004-2803-4F99-B435-E9A0A4798CF2}"/>
            </c:ext>
          </c:extLst>
        </c:ser>
        <c:dLbls>
          <c:showLegendKey val="0"/>
          <c:showVal val="0"/>
          <c:showCatName val="0"/>
          <c:showSerName val="0"/>
          <c:showPercent val="0"/>
          <c:showBubbleSize val="0"/>
        </c:dLbls>
        <c:smooth val="0"/>
        <c:axId val="80612352"/>
        <c:axId val="80774656"/>
      </c:lineChart>
      <c:catAx>
        <c:axId val="80612352"/>
        <c:scaling>
          <c:orientation val="minMax"/>
        </c:scaling>
        <c:delete val="0"/>
        <c:axPos val="b"/>
        <c:numFmt formatCode="General" sourceLinked="1"/>
        <c:majorTickMark val="out"/>
        <c:minorTickMark val="none"/>
        <c:tickLblPos val="nextTo"/>
        <c:txPr>
          <a:bodyPr rot="-5400000" vert="horz"/>
          <a:lstStyle/>
          <a:p>
            <a:pPr>
              <a:defRPr/>
            </a:pPr>
            <a:endParaRPr lang="es-ES"/>
          </a:p>
        </c:txPr>
        <c:crossAx val="80774656"/>
        <c:crosses val="autoZero"/>
        <c:auto val="1"/>
        <c:lblAlgn val="ctr"/>
        <c:lblOffset val="100"/>
        <c:noMultiLvlLbl val="0"/>
      </c:catAx>
      <c:valAx>
        <c:axId val="80774656"/>
        <c:scaling>
          <c:orientation val="minMax"/>
          <c:max val="4"/>
        </c:scaling>
        <c:delete val="0"/>
        <c:axPos val="l"/>
        <c:majorGridlines>
          <c:spPr>
            <a:ln>
              <a:solidFill>
                <a:schemeClr val="bg1">
                  <a:lumMod val="75000"/>
                </a:schemeClr>
              </a:solidFill>
            </a:ln>
          </c:spPr>
        </c:majorGridlines>
        <c:numFmt formatCode="0.000" sourceLinked="1"/>
        <c:majorTickMark val="out"/>
        <c:minorTickMark val="none"/>
        <c:tickLblPos val="nextTo"/>
        <c:crossAx val="80612352"/>
        <c:crosses val="autoZero"/>
        <c:crossBetween val="between"/>
      </c:valAx>
    </c:plotArea>
    <c:legend>
      <c:legendPos val="b"/>
      <c:layout/>
      <c:overlay val="0"/>
    </c:legend>
    <c:plotVisOnly val="1"/>
    <c:dispBlanksAs val="gap"/>
    <c:showDLblsOverMax val="0"/>
  </c:chart>
  <c:txPr>
    <a:bodyPr/>
    <a:lstStyle/>
    <a:p>
      <a:pPr>
        <a:defRPr sz="900"/>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5CAC-2532-412A-9EDC-FAAFF2C1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7040</Words>
  <Characters>38725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AECR</Company>
  <LinksUpToDate>false</LinksUpToDate>
  <CharactersWithSpaces>45674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AECR</dc:creator>
  <cp:lastModifiedBy>AMAIA ALTUZARRA</cp:lastModifiedBy>
  <cp:revision>2</cp:revision>
  <dcterms:created xsi:type="dcterms:W3CDTF">2017-09-25T08:33:00Z</dcterms:created>
  <dcterms:modified xsi:type="dcterms:W3CDTF">2017-09-25T08:33:00Z</dcterms:modified>
</cp:coreProperties>
</file>