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E7" w:rsidRDefault="00461AE7" w:rsidP="000F16BE">
      <w:pPr>
        <w:spacing w:before="120" w:after="120" w:line="360" w:lineRule="auto"/>
        <w:jc w:val="center"/>
        <w:rPr>
          <w:rFonts w:ascii="Times New Roman" w:eastAsia="Calibri" w:hAnsi="Times New Roman" w:cs="Times New Roman"/>
          <w:b/>
          <w:sz w:val="28"/>
          <w:szCs w:val="28"/>
          <w:lang w:val="es-ES"/>
        </w:rPr>
      </w:pPr>
    </w:p>
    <w:p w:rsidR="00461AE7" w:rsidRPr="00461AE7" w:rsidRDefault="00461AE7" w:rsidP="00461AE7">
      <w:pPr>
        <w:spacing w:after="0" w:line="240" w:lineRule="auto"/>
        <w:rPr>
          <w:rFonts w:ascii="Times New Roman" w:eastAsia="Times New Roman" w:hAnsi="Times New Roman" w:cs="Times New Roman"/>
          <w:sz w:val="24"/>
          <w:szCs w:val="24"/>
          <w:lang w:val="es-ES" w:eastAsia="es-ES"/>
        </w:rPr>
      </w:pPr>
    </w:p>
    <w:p w:rsidR="00461AE7" w:rsidRPr="00461AE7" w:rsidRDefault="00461AE7" w:rsidP="00461AE7">
      <w:pPr>
        <w:spacing w:after="0" w:line="240" w:lineRule="auto"/>
        <w:rPr>
          <w:rFonts w:ascii="Times New Roman" w:eastAsia="Times New Roman" w:hAnsi="Times New Roman" w:cs="Times New Roman"/>
          <w:sz w:val="24"/>
          <w:szCs w:val="24"/>
          <w:lang w:val="es-ES" w:eastAsia="es-ES"/>
        </w:rPr>
      </w:pPr>
    </w:p>
    <w:p w:rsidR="00461AE7" w:rsidRPr="00461AE7" w:rsidRDefault="00461AE7" w:rsidP="00461AE7">
      <w:pPr>
        <w:spacing w:before="120" w:after="120" w:line="360" w:lineRule="auto"/>
        <w:jc w:val="center"/>
        <w:rPr>
          <w:rFonts w:ascii="Times New Roman" w:eastAsia="Calibri" w:hAnsi="Times New Roman" w:cs="Times New Roman"/>
          <w:b/>
          <w:sz w:val="28"/>
          <w:szCs w:val="28"/>
          <w:lang w:val="es-ES"/>
        </w:rPr>
      </w:pPr>
      <w:r w:rsidRPr="00461AE7">
        <w:rPr>
          <w:rFonts w:ascii="Times New Roman" w:eastAsia="Calibri" w:hAnsi="Times New Roman" w:cs="Times New Roman"/>
          <w:b/>
          <w:sz w:val="28"/>
          <w:szCs w:val="28"/>
          <w:lang w:val="es-ES"/>
        </w:rPr>
        <w:t>¿Pobre en 2007, no pobre en 2012?</w:t>
      </w:r>
    </w:p>
    <w:p w:rsidR="00461AE7" w:rsidRPr="00461AE7" w:rsidRDefault="00461AE7" w:rsidP="00461AE7">
      <w:pPr>
        <w:spacing w:before="120" w:after="120" w:line="360" w:lineRule="auto"/>
        <w:jc w:val="center"/>
        <w:rPr>
          <w:rFonts w:ascii="Times New Roman" w:eastAsia="Calibri" w:hAnsi="Times New Roman" w:cs="Times New Roman"/>
          <w:b/>
          <w:sz w:val="24"/>
          <w:szCs w:val="24"/>
          <w:lang w:val="es-ES"/>
        </w:rPr>
      </w:pPr>
      <w:r w:rsidRPr="00461AE7">
        <w:rPr>
          <w:rFonts w:ascii="Times New Roman" w:eastAsia="Calibri" w:hAnsi="Times New Roman" w:cs="Times New Roman"/>
          <w:b/>
          <w:sz w:val="24"/>
          <w:szCs w:val="24"/>
          <w:lang w:val="es-ES"/>
        </w:rPr>
        <w:t>Medición de la pobreza a través de un umbral de pobreza constante en el tiempo</w:t>
      </w:r>
      <w:r w:rsidR="004A1ED4">
        <w:rPr>
          <w:rStyle w:val="Refdenotaalpie"/>
          <w:rFonts w:ascii="Times New Roman" w:eastAsia="Calibri" w:hAnsi="Times New Roman" w:cs="Times New Roman"/>
          <w:b/>
          <w:sz w:val="24"/>
          <w:szCs w:val="24"/>
          <w:lang w:val="es-ES"/>
        </w:rPr>
        <w:footnoteReference w:id="1"/>
      </w:r>
      <w:r w:rsidRPr="00461AE7">
        <w:rPr>
          <w:rFonts w:ascii="Times New Roman" w:eastAsia="Calibri" w:hAnsi="Times New Roman" w:cs="Times New Roman"/>
          <w:b/>
          <w:sz w:val="24"/>
          <w:szCs w:val="24"/>
          <w:lang w:val="es-ES"/>
        </w:rPr>
        <w:t xml:space="preserve"> </w:t>
      </w:r>
    </w:p>
    <w:p w:rsidR="000F16BE" w:rsidRPr="002A1746" w:rsidRDefault="000F16BE" w:rsidP="000F16BE">
      <w:pPr>
        <w:spacing w:before="120" w:after="120" w:line="360" w:lineRule="auto"/>
        <w:rPr>
          <w:rFonts w:ascii="Times New Roman" w:eastAsia="Times New Roman" w:hAnsi="Times New Roman" w:cs="Times New Roman"/>
          <w:b/>
          <w:sz w:val="24"/>
          <w:szCs w:val="24"/>
          <w:lang w:val="es-ES" w:eastAsia="es-ES"/>
        </w:rPr>
      </w:pPr>
    </w:p>
    <w:p w:rsidR="000F16BE" w:rsidRPr="002A1746" w:rsidRDefault="000F16BE" w:rsidP="000F16BE">
      <w:pPr>
        <w:spacing w:before="120" w:after="120" w:line="360" w:lineRule="auto"/>
        <w:rPr>
          <w:rFonts w:ascii="Times New Roman" w:eastAsia="Times New Roman" w:hAnsi="Times New Roman" w:cs="Times New Roman"/>
          <w:b/>
          <w:sz w:val="24"/>
          <w:szCs w:val="24"/>
          <w:lang w:val="es-ES" w:eastAsia="es-ES"/>
        </w:rPr>
      </w:pPr>
      <w:r w:rsidRPr="002A1746">
        <w:rPr>
          <w:rFonts w:ascii="Times New Roman" w:eastAsia="Times New Roman" w:hAnsi="Times New Roman" w:cs="Times New Roman"/>
          <w:b/>
          <w:sz w:val="24"/>
          <w:szCs w:val="24"/>
          <w:lang w:val="es-ES" w:eastAsia="es-ES"/>
        </w:rPr>
        <w:t xml:space="preserve">Autores y e-mail de la persona de contacto: </w:t>
      </w:r>
    </w:p>
    <w:p w:rsidR="000F16BE" w:rsidRPr="002A1746" w:rsidRDefault="000F16BE" w:rsidP="00461AE7">
      <w:pPr>
        <w:spacing w:before="120" w:after="120" w:line="360" w:lineRule="auto"/>
        <w:rPr>
          <w:rFonts w:ascii="Times New Roman" w:eastAsia="Times New Roman" w:hAnsi="Times New Roman" w:cs="Times New Roman"/>
          <w:sz w:val="24"/>
          <w:szCs w:val="24"/>
          <w:lang w:val="es-ES" w:eastAsia="es-ES"/>
        </w:rPr>
      </w:pPr>
      <w:r w:rsidRPr="002A1746">
        <w:rPr>
          <w:rFonts w:ascii="Times New Roman" w:eastAsia="Times New Roman" w:hAnsi="Times New Roman" w:cs="Times New Roman"/>
          <w:sz w:val="24"/>
          <w:szCs w:val="24"/>
          <w:lang w:val="es-ES" w:eastAsia="es-ES"/>
        </w:rPr>
        <w:t>Corbelle Cacabelos, F. (fernando.co</w:t>
      </w:r>
      <w:r w:rsidR="006526B3" w:rsidRPr="002A1746">
        <w:rPr>
          <w:rFonts w:ascii="Times New Roman" w:eastAsia="Times New Roman" w:hAnsi="Times New Roman" w:cs="Times New Roman"/>
          <w:sz w:val="24"/>
          <w:szCs w:val="24"/>
          <w:lang w:val="es-ES" w:eastAsia="es-ES"/>
        </w:rPr>
        <w:t>r</w:t>
      </w:r>
      <w:r w:rsidRPr="002A1746">
        <w:rPr>
          <w:rFonts w:ascii="Times New Roman" w:eastAsia="Times New Roman" w:hAnsi="Times New Roman" w:cs="Times New Roman"/>
          <w:sz w:val="24"/>
          <w:szCs w:val="24"/>
          <w:lang w:val="es-ES" w:eastAsia="es-ES"/>
        </w:rPr>
        <w:t>belle@rai.usc.es)</w:t>
      </w:r>
    </w:p>
    <w:p w:rsidR="000F16BE" w:rsidRPr="002A1746" w:rsidRDefault="000F16BE" w:rsidP="00461AE7">
      <w:pPr>
        <w:spacing w:before="120" w:after="120" w:line="360" w:lineRule="auto"/>
        <w:rPr>
          <w:rFonts w:ascii="Times New Roman" w:eastAsia="Times New Roman" w:hAnsi="Times New Roman" w:cs="Times New Roman"/>
          <w:sz w:val="24"/>
          <w:szCs w:val="24"/>
          <w:lang w:val="es-ES" w:eastAsia="es-ES"/>
        </w:rPr>
      </w:pPr>
      <w:r w:rsidRPr="002A1746">
        <w:rPr>
          <w:rFonts w:ascii="Times New Roman" w:eastAsia="Times New Roman" w:hAnsi="Times New Roman" w:cs="Times New Roman"/>
          <w:sz w:val="24"/>
          <w:szCs w:val="24"/>
          <w:lang w:val="es-ES" w:eastAsia="es-ES"/>
        </w:rPr>
        <w:t>Guntín Araujo, X. (xulia.guntin@usc.es)</w:t>
      </w:r>
    </w:p>
    <w:p w:rsidR="000F16BE" w:rsidRPr="002A1746" w:rsidRDefault="000F16BE" w:rsidP="00461AE7">
      <w:pPr>
        <w:spacing w:before="120" w:after="120" w:line="360" w:lineRule="auto"/>
        <w:rPr>
          <w:rFonts w:ascii="Times New Roman" w:eastAsia="Times New Roman" w:hAnsi="Times New Roman" w:cs="Times New Roman"/>
          <w:sz w:val="24"/>
          <w:szCs w:val="24"/>
          <w:lang w:val="es-ES" w:eastAsia="es-ES"/>
        </w:rPr>
      </w:pPr>
      <w:r w:rsidRPr="002A1746">
        <w:rPr>
          <w:rFonts w:ascii="Times New Roman" w:eastAsia="Times New Roman" w:hAnsi="Times New Roman" w:cs="Times New Roman"/>
          <w:sz w:val="24"/>
          <w:szCs w:val="24"/>
          <w:lang w:val="es-ES" w:eastAsia="es-ES"/>
        </w:rPr>
        <w:t>Troitiño Cobas, A. (angela.troitino@usc.es)</w:t>
      </w:r>
    </w:p>
    <w:p w:rsidR="000F16BE" w:rsidRPr="002A1746" w:rsidRDefault="000F16BE" w:rsidP="00461AE7">
      <w:pPr>
        <w:spacing w:before="120" w:after="120" w:line="360" w:lineRule="auto"/>
        <w:rPr>
          <w:rFonts w:ascii="Times New Roman" w:eastAsia="Times New Roman" w:hAnsi="Times New Roman" w:cs="Times New Roman"/>
          <w:sz w:val="24"/>
          <w:szCs w:val="24"/>
          <w:lang w:val="es-ES" w:eastAsia="es-ES"/>
        </w:rPr>
      </w:pPr>
      <w:r w:rsidRPr="002A1746">
        <w:rPr>
          <w:rFonts w:ascii="Times New Roman" w:eastAsia="Times New Roman" w:hAnsi="Times New Roman" w:cs="Times New Roman"/>
          <w:b/>
          <w:sz w:val="24"/>
          <w:szCs w:val="24"/>
          <w:lang w:val="es-ES" w:eastAsia="es-ES"/>
        </w:rPr>
        <w:t xml:space="preserve">Departamento: </w:t>
      </w:r>
      <w:r w:rsidRPr="002A1746">
        <w:rPr>
          <w:rFonts w:ascii="Times New Roman" w:eastAsia="Times New Roman" w:hAnsi="Times New Roman" w:cs="Times New Roman"/>
          <w:sz w:val="24"/>
          <w:szCs w:val="24"/>
          <w:lang w:val="es-ES" w:eastAsia="es-ES"/>
        </w:rPr>
        <w:t xml:space="preserve">IDEGA y Dpto. Economía Cuantitativa, </w:t>
      </w:r>
      <w:proofErr w:type="spellStart"/>
      <w:r w:rsidRPr="002A1746">
        <w:rPr>
          <w:rFonts w:ascii="Times New Roman" w:eastAsia="Times New Roman" w:hAnsi="Times New Roman" w:cs="Times New Roman"/>
          <w:sz w:val="24"/>
          <w:szCs w:val="24"/>
          <w:lang w:val="es-ES" w:eastAsia="es-ES"/>
        </w:rPr>
        <w:t>resp</w:t>
      </w:r>
      <w:proofErr w:type="spellEnd"/>
      <w:r w:rsidRPr="002A1746">
        <w:rPr>
          <w:rFonts w:ascii="Times New Roman" w:eastAsia="Times New Roman" w:hAnsi="Times New Roman" w:cs="Times New Roman"/>
          <w:sz w:val="24"/>
          <w:szCs w:val="24"/>
          <w:lang w:val="es-ES" w:eastAsia="es-ES"/>
        </w:rPr>
        <w:t>.</w:t>
      </w:r>
    </w:p>
    <w:p w:rsidR="000F16BE" w:rsidRPr="002A1746" w:rsidRDefault="000F16BE" w:rsidP="00461AE7">
      <w:pPr>
        <w:spacing w:before="120" w:after="120" w:line="360" w:lineRule="auto"/>
        <w:rPr>
          <w:rFonts w:ascii="Times New Roman" w:eastAsia="Times New Roman" w:hAnsi="Times New Roman" w:cs="Times New Roman"/>
          <w:sz w:val="24"/>
          <w:szCs w:val="24"/>
          <w:lang w:val="es-ES" w:eastAsia="es-ES"/>
        </w:rPr>
      </w:pPr>
      <w:r w:rsidRPr="002A1746">
        <w:rPr>
          <w:rFonts w:ascii="Times New Roman" w:eastAsia="Times New Roman" w:hAnsi="Times New Roman" w:cs="Times New Roman"/>
          <w:b/>
          <w:sz w:val="24"/>
          <w:szCs w:val="24"/>
          <w:lang w:val="es-ES" w:eastAsia="es-ES"/>
        </w:rPr>
        <w:t xml:space="preserve">Universidad: </w:t>
      </w:r>
      <w:r w:rsidRPr="002A1746">
        <w:rPr>
          <w:rFonts w:ascii="Times New Roman" w:eastAsia="Times New Roman" w:hAnsi="Times New Roman" w:cs="Times New Roman"/>
          <w:sz w:val="24"/>
          <w:szCs w:val="24"/>
          <w:lang w:val="es-ES" w:eastAsia="es-ES"/>
        </w:rPr>
        <w:t>Universidade de Santiago de Compostela (USC)</w:t>
      </w:r>
    </w:p>
    <w:p w:rsidR="000F16BE" w:rsidRPr="002A1746" w:rsidRDefault="000F16BE" w:rsidP="00461AE7">
      <w:pPr>
        <w:spacing w:before="120" w:after="120" w:line="360" w:lineRule="auto"/>
        <w:rPr>
          <w:rFonts w:ascii="Times New Roman" w:eastAsia="Times New Roman" w:hAnsi="Times New Roman" w:cs="Times New Roman"/>
          <w:b/>
          <w:sz w:val="24"/>
          <w:szCs w:val="24"/>
          <w:lang w:val="es-ES" w:eastAsia="es-ES"/>
        </w:rPr>
      </w:pPr>
      <w:r w:rsidRPr="002A1746">
        <w:rPr>
          <w:rFonts w:ascii="Times New Roman" w:eastAsia="Times New Roman" w:hAnsi="Times New Roman" w:cs="Times New Roman"/>
          <w:b/>
          <w:sz w:val="24"/>
          <w:szCs w:val="24"/>
          <w:lang w:val="es-ES" w:eastAsia="es-ES"/>
        </w:rPr>
        <w:t xml:space="preserve">Área Temática: </w:t>
      </w:r>
      <w:r w:rsidRPr="002A1746">
        <w:rPr>
          <w:rFonts w:ascii="Times New Roman" w:eastAsia="Times New Roman" w:hAnsi="Times New Roman" w:cs="Times New Roman"/>
          <w:sz w:val="24"/>
          <w:szCs w:val="24"/>
          <w:lang w:val="es-ES" w:eastAsia="es-ES"/>
        </w:rPr>
        <w:t>11.</w:t>
      </w:r>
      <w:r w:rsidRPr="002A1746">
        <w:rPr>
          <w:rFonts w:ascii="Times New Roman" w:eastAsia="Times New Roman" w:hAnsi="Times New Roman" w:cs="Times New Roman"/>
          <w:b/>
          <w:sz w:val="24"/>
          <w:szCs w:val="24"/>
          <w:lang w:val="es-ES" w:eastAsia="es-ES"/>
        </w:rPr>
        <w:t xml:space="preserve"> </w:t>
      </w:r>
      <w:r w:rsidRPr="002A1746">
        <w:rPr>
          <w:rFonts w:ascii="Times New Roman" w:eastAsia="Times New Roman" w:hAnsi="Times New Roman" w:cs="Times New Roman"/>
          <w:color w:val="122A31"/>
          <w:sz w:val="24"/>
          <w:szCs w:val="24"/>
          <w:lang w:val="es-ES" w:eastAsia="es-ES"/>
        </w:rPr>
        <w:t>Políticas regionales y de cohesión</w:t>
      </w:r>
    </w:p>
    <w:p w:rsidR="000F16BE" w:rsidRPr="002A1746" w:rsidRDefault="000F16BE" w:rsidP="000F16BE">
      <w:pPr>
        <w:spacing w:before="120" w:after="120" w:line="360" w:lineRule="auto"/>
        <w:rPr>
          <w:rFonts w:ascii="Times New Roman" w:eastAsia="Times New Roman" w:hAnsi="Times New Roman" w:cs="Times New Roman"/>
          <w:b/>
          <w:sz w:val="24"/>
          <w:szCs w:val="24"/>
          <w:lang w:val="es-ES" w:eastAsia="es-ES"/>
        </w:rPr>
      </w:pPr>
    </w:p>
    <w:p w:rsidR="000F16BE" w:rsidRPr="002A1746" w:rsidRDefault="000F16BE" w:rsidP="000F16BE">
      <w:pPr>
        <w:spacing w:before="120" w:after="120" w:line="360" w:lineRule="auto"/>
        <w:rPr>
          <w:rFonts w:ascii="Times New Roman" w:eastAsia="Times New Roman" w:hAnsi="Times New Roman" w:cs="Times New Roman"/>
          <w:i/>
          <w:sz w:val="24"/>
          <w:szCs w:val="24"/>
          <w:lang w:val="es-ES" w:eastAsia="es-ES"/>
        </w:rPr>
      </w:pPr>
      <w:r w:rsidRPr="002A1746">
        <w:rPr>
          <w:rFonts w:ascii="Times New Roman" w:eastAsia="Times New Roman" w:hAnsi="Times New Roman" w:cs="Times New Roman"/>
          <w:b/>
          <w:sz w:val="24"/>
          <w:szCs w:val="24"/>
          <w:lang w:val="es-ES" w:eastAsia="es-ES"/>
        </w:rPr>
        <w:t>Resumen:</w:t>
      </w:r>
      <w:r w:rsidRPr="002A1746">
        <w:rPr>
          <w:rFonts w:ascii="Times New Roman" w:eastAsia="Times New Roman" w:hAnsi="Times New Roman" w:cs="Times New Roman"/>
          <w:i/>
          <w:sz w:val="24"/>
          <w:szCs w:val="24"/>
          <w:lang w:val="es-ES" w:eastAsia="es-ES"/>
        </w:rPr>
        <w:t xml:space="preserve"> (máximo 300 palabras)</w:t>
      </w:r>
    </w:p>
    <w:p w:rsidR="000F16BE" w:rsidRPr="002A1746" w:rsidRDefault="000F16BE" w:rsidP="000F16BE">
      <w:pPr>
        <w:spacing w:before="120" w:after="120" w:line="360" w:lineRule="auto"/>
        <w:jc w:val="both"/>
        <w:rPr>
          <w:rFonts w:ascii="Times New Roman" w:eastAsia="Calibri" w:hAnsi="Times New Roman" w:cs="Times New Roman"/>
          <w:sz w:val="24"/>
          <w:szCs w:val="24"/>
          <w:lang w:val="es-ES"/>
        </w:rPr>
      </w:pPr>
      <w:r w:rsidRPr="002A1746">
        <w:rPr>
          <w:rFonts w:ascii="Times New Roman" w:eastAsia="Calibri" w:hAnsi="Times New Roman" w:cs="Times New Roman"/>
          <w:sz w:val="24"/>
          <w:szCs w:val="24"/>
          <w:lang w:val="es-ES"/>
        </w:rPr>
        <w:t>El estudio de la pobreza de ingresos en los países y regiones de la UE y de otras áreas desarrolladas se realiza frecuentemente desde un enfoque relativo. El continuo decrecimiento experimentado por  la renta mediana en los últimos años ha supuesto un continuo descenso del umbral de pobreza, implicando que  hogares que al inicio de la crisis se situaban bajo el umbral de pobreza actualmente pueden superarlo a pesar de que -en algunos casos-  su ingreso haya disminuido. Ello significa que, como actualmente la población en media es menos rica, para  ser considerado en riesgo de pobreza hay que ser más pobre que antes.</w:t>
      </w:r>
    </w:p>
    <w:p w:rsidR="008C2164" w:rsidRDefault="008C2164" w:rsidP="008C2164">
      <w:pPr>
        <w:spacing w:before="120" w:after="120" w:line="360" w:lineRule="auto"/>
        <w:jc w:val="both"/>
        <w:rPr>
          <w:rFonts w:ascii="Times New Roman" w:eastAsia="Calibri" w:hAnsi="Times New Roman" w:cs="Times New Roman"/>
          <w:sz w:val="24"/>
          <w:szCs w:val="24"/>
          <w:lang w:val="es-ES"/>
        </w:rPr>
      </w:pPr>
      <w:r w:rsidRPr="00766EDD">
        <w:rPr>
          <w:rFonts w:ascii="Times New Roman" w:hAnsi="Times New Roman" w:cs="Times New Roman"/>
          <w:sz w:val="24"/>
          <w:szCs w:val="24"/>
          <w:lang w:val="es-ES"/>
        </w:rPr>
        <w:lastRenderedPageBreak/>
        <w:t>En este trabajo planteamos una reflexión teórica sobre las técnicas más habituales de medición de la pobreza, proponiendo el debate sobre la necesidad de utilizar líneas de pobreza no estrictamente relativas, sensibles al empeoramiento generalizado de la población, así como variables de renta que reflejen el poder adquisitivo de las personas (rentas deflactadas y en paridades). Con el objeto de medir los incrementos de pobreza que se han producido en estos tiempos de crisis, nuestra propuesta ha sido anclar la línea de pobreza en 2008 y homogeneizar (espacial y temporalmente) las rentas en su poder adquisitivo.</w:t>
      </w:r>
      <w:r>
        <w:rPr>
          <w:rFonts w:ascii="Times New Roman" w:hAnsi="Times New Roman" w:cs="Times New Roman"/>
          <w:sz w:val="24"/>
          <w:szCs w:val="24"/>
          <w:lang w:val="es-ES"/>
        </w:rPr>
        <w:t xml:space="preserve"> </w:t>
      </w:r>
      <w:r w:rsidRPr="00766EDD">
        <w:rPr>
          <w:rFonts w:ascii="Times New Roman" w:hAnsi="Times New Roman" w:cs="Times New Roman"/>
          <w:sz w:val="24"/>
          <w:szCs w:val="24"/>
          <w:lang w:val="es-ES"/>
        </w:rPr>
        <w:t xml:space="preserve">Construimos paridades de poder adquisitivo (PPA) para las regiones españolas actualizando las elaboradas en 1989 (López y </w:t>
      </w:r>
      <w:proofErr w:type="spellStart"/>
      <w:r w:rsidRPr="00766EDD">
        <w:rPr>
          <w:rFonts w:ascii="Times New Roman" w:hAnsi="Times New Roman" w:cs="Times New Roman"/>
          <w:sz w:val="24"/>
          <w:szCs w:val="24"/>
          <w:lang w:val="es-ES"/>
        </w:rPr>
        <w:t>Padró</w:t>
      </w:r>
      <w:proofErr w:type="spellEnd"/>
      <w:r w:rsidRPr="00766EDD">
        <w:rPr>
          <w:rFonts w:ascii="Times New Roman" w:hAnsi="Times New Roman" w:cs="Times New Roman"/>
          <w:sz w:val="24"/>
          <w:szCs w:val="24"/>
          <w:lang w:val="es-ES"/>
        </w:rPr>
        <w:t>, 2000) a través de la evolución de los correspondientes IPC regionales.</w:t>
      </w:r>
      <w:r>
        <w:rPr>
          <w:rFonts w:ascii="Times New Roman" w:hAnsi="Times New Roman" w:cs="Times New Roman"/>
          <w:sz w:val="24"/>
          <w:szCs w:val="24"/>
          <w:lang w:val="es-ES"/>
        </w:rPr>
        <w:t xml:space="preserve"> Utilizando diferentes variables y líneas de pobreza, los resultados</w:t>
      </w:r>
      <w:r w:rsidRPr="008C2164">
        <w:rPr>
          <w:rFonts w:ascii="Times New Roman" w:eastAsia="Calibri" w:hAnsi="Times New Roman" w:cs="Times New Roman"/>
          <w:sz w:val="24"/>
          <w:szCs w:val="24"/>
          <w:lang w:val="es-ES"/>
        </w:rPr>
        <w:t xml:space="preserve"> </w:t>
      </w:r>
      <w:r w:rsidRPr="002A1746">
        <w:rPr>
          <w:rFonts w:ascii="Times New Roman" w:eastAsia="Calibri" w:hAnsi="Times New Roman" w:cs="Times New Roman"/>
          <w:sz w:val="24"/>
          <w:szCs w:val="24"/>
          <w:lang w:val="es-ES"/>
        </w:rPr>
        <w:t xml:space="preserve">muestran que los </w:t>
      </w:r>
      <w:r w:rsidR="00871943">
        <w:rPr>
          <w:rFonts w:ascii="Times New Roman" w:eastAsia="Calibri" w:hAnsi="Times New Roman" w:cs="Times New Roman"/>
          <w:sz w:val="24"/>
          <w:szCs w:val="24"/>
          <w:lang w:val="es-ES"/>
        </w:rPr>
        <w:t xml:space="preserve">incrementos </w:t>
      </w:r>
      <w:r w:rsidRPr="002A1746">
        <w:rPr>
          <w:rFonts w:ascii="Times New Roman" w:eastAsia="Calibri" w:hAnsi="Times New Roman" w:cs="Times New Roman"/>
          <w:sz w:val="24"/>
          <w:szCs w:val="24"/>
          <w:lang w:val="es-ES"/>
        </w:rPr>
        <w:t>en los niveles de pobreza sufridos por la población han sido más fuertes de lo que nos ind</w:t>
      </w:r>
      <w:r w:rsidR="00871943">
        <w:rPr>
          <w:rFonts w:ascii="Times New Roman" w:eastAsia="Calibri" w:hAnsi="Times New Roman" w:cs="Times New Roman"/>
          <w:sz w:val="24"/>
          <w:szCs w:val="24"/>
          <w:lang w:val="es-ES"/>
        </w:rPr>
        <w:t xml:space="preserve">ican las estadísticas oficiales. Por comunidades, la ordenación no es unánime, pero hay bastante concordancia en que Castilla y León y Galicia son las que mejor comportamiento han tenido en el período analizado (2008-2012).  </w:t>
      </w:r>
    </w:p>
    <w:p w:rsidR="000F16BE" w:rsidRPr="002A1746" w:rsidRDefault="000F16BE" w:rsidP="000F16BE">
      <w:pPr>
        <w:spacing w:before="120" w:after="120" w:line="360" w:lineRule="auto"/>
        <w:rPr>
          <w:rFonts w:ascii="Times New Roman" w:eastAsia="Times New Roman" w:hAnsi="Times New Roman" w:cs="Times New Roman"/>
          <w:b/>
          <w:sz w:val="24"/>
          <w:szCs w:val="24"/>
          <w:lang w:val="es-ES" w:eastAsia="es-ES"/>
        </w:rPr>
      </w:pPr>
    </w:p>
    <w:p w:rsidR="000F16BE" w:rsidRPr="002A1746" w:rsidRDefault="000F16BE" w:rsidP="000F16BE">
      <w:pPr>
        <w:spacing w:before="120" w:after="120" w:line="360" w:lineRule="auto"/>
        <w:rPr>
          <w:rFonts w:ascii="Times New Roman" w:eastAsia="Times New Roman" w:hAnsi="Times New Roman" w:cs="Times New Roman"/>
          <w:sz w:val="24"/>
          <w:szCs w:val="24"/>
          <w:lang w:val="es-ES" w:eastAsia="es-ES"/>
        </w:rPr>
      </w:pPr>
      <w:r w:rsidRPr="002A1746">
        <w:rPr>
          <w:rFonts w:ascii="Times New Roman" w:eastAsia="Times New Roman" w:hAnsi="Times New Roman" w:cs="Times New Roman"/>
          <w:b/>
          <w:sz w:val="24"/>
          <w:szCs w:val="24"/>
          <w:lang w:val="es-ES" w:eastAsia="es-ES"/>
        </w:rPr>
        <w:t>Palabras Clave:</w:t>
      </w:r>
      <w:r w:rsidRPr="002A1746">
        <w:rPr>
          <w:rFonts w:ascii="Times New Roman" w:eastAsia="Times New Roman" w:hAnsi="Times New Roman" w:cs="Times New Roman"/>
          <w:i/>
          <w:sz w:val="24"/>
          <w:szCs w:val="24"/>
          <w:lang w:val="es-ES" w:eastAsia="es-ES"/>
        </w:rPr>
        <w:t xml:space="preserve"> </w:t>
      </w:r>
      <w:r w:rsidR="00B90D38">
        <w:rPr>
          <w:rFonts w:ascii="Times New Roman" w:eastAsia="Times New Roman" w:hAnsi="Times New Roman" w:cs="Times New Roman"/>
          <w:sz w:val="24"/>
          <w:szCs w:val="24"/>
          <w:lang w:val="es-ES" w:eastAsia="es-ES"/>
        </w:rPr>
        <w:t>líneas de pobreza, PPA, ingresos reales, análisis regional</w:t>
      </w:r>
      <w:r w:rsidRPr="002A1746">
        <w:rPr>
          <w:rFonts w:ascii="Times New Roman" w:eastAsia="Times New Roman" w:hAnsi="Times New Roman" w:cs="Times New Roman"/>
          <w:sz w:val="24"/>
          <w:szCs w:val="24"/>
          <w:lang w:val="es-ES" w:eastAsia="es-ES"/>
        </w:rPr>
        <w:t>.</w:t>
      </w:r>
    </w:p>
    <w:p w:rsidR="000F16BE" w:rsidRPr="002A1746" w:rsidRDefault="000F16BE" w:rsidP="000F16BE">
      <w:pPr>
        <w:spacing w:before="120" w:after="120" w:line="360" w:lineRule="auto"/>
        <w:rPr>
          <w:rFonts w:ascii="Times New Roman" w:eastAsia="Times New Roman" w:hAnsi="Times New Roman" w:cs="Times New Roman"/>
          <w:b/>
          <w:sz w:val="24"/>
          <w:szCs w:val="24"/>
          <w:lang w:val="es-ES" w:eastAsia="es-ES"/>
        </w:rPr>
      </w:pPr>
      <w:r w:rsidRPr="002A1746">
        <w:rPr>
          <w:rFonts w:ascii="Times New Roman" w:eastAsia="Times New Roman" w:hAnsi="Times New Roman" w:cs="Times New Roman"/>
          <w:b/>
          <w:sz w:val="24"/>
          <w:szCs w:val="24"/>
          <w:lang w:val="es-ES" w:eastAsia="es-ES"/>
        </w:rPr>
        <w:t>Clasificación JEL</w:t>
      </w:r>
      <w:proofErr w:type="gramStart"/>
      <w:r w:rsidRPr="002A1746">
        <w:rPr>
          <w:rFonts w:ascii="Times New Roman" w:eastAsia="Times New Roman" w:hAnsi="Times New Roman" w:cs="Times New Roman"/>
          <w:b/>
          <w:sz w:val="24"/>
          <w:szCs w:val="24"/>
          <w:lang w:val="es-ES" w:eastAsia="es-ES"/>
        </w:rPr>
        <w:t xml:space="preserve">:  </w:t>
      </w:r>
      <w:r w:rsidRPr="002A1746">
        <w:rPr>
          <w:rFonts w:ascii="Times New Roman" w:eastAsia="Times New Roman" w:hAnsi="Times New Roman" w:cs="Times New Roman"/>
          <w:sz w:val="24"/>
          <w:szCs w:val="24"/>
          <w:lang w:val="es-ES" w:eastAsia="es-ES"/>
        </w:rPr>
        <w:t>I32</w:t>
      </w:r>
      <w:proofErr w:type="gramEnd"/>
    </w:p>
    <w:p w:rsidR="000F16BE" w:rsidRPr="002A1746" w:rsidRDefault="000F16BE">
      <w:pPr>
        <w:rPr>
          <w:rFonts w:ascii="Times New Roman" w:hAnsi="Times New Roman" w:cs="Times New Roman"/>
          <w:b/>
          <w:sz w:val="24"/>
          <w:szCs w:val="24"/>
          <w:lang w:val="es-ES"/>
        </w:rPr>
      </w:pPr>
      <w:r w:rsidRPr="002A1746">
        <w:rPr>
          <w:rFonts w:ascii="Times New Roman" w:hAnsi="Times New Roman" w:cs="Times New Roman"/>
          <w:b/>
          <w:sz w:val="24"/>
          <w:szCs w:val="24"/>
          <w:lang w:val="es-ES"/>
        </w:rPr>
        <w:br w:type="page"/>
      </w:r>
    </w:p>
    <w:p w:rsidR="008161EE" w:rsidRPr="002A1746" w:rsidRDefault="008161EE" w:rsidP="00AD37B1">
      <w:pPr>
        <w:pStyle w:val="Prrafodelista"/>
        <w:numPr>
          <w:ilvl w:val="0"/>
          <w:numId w:val="1"/>
        </w:numPr>
        <w:spacing w:before="120" w:after="120" w:line="360" w:lineRule="auto"/>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lastRenderedPageBreak/>
        <w:t>INTRODUCCIÓN</w:t>
      </w:r>
    </w:p>
    <w:p w:rsidR="0031514E" w:rsidRPr="00921CA0" w:rsidRDefault="00314517" w:rsidP="00921CA0">
      <w:pPr>
        <w:spacing w:before="120" w:after="120" w:line="360" w:lineRule="auto"/>
        <w:jc w:val="both"/>
        <w:rPr>
          <w:rFonts w:ascii="Times New Roman" w:eastAsia="Times New Roman" w:hAnsi="Times New Roman" w:cs="Times New Roman"/>
          <w:sz w:val="24"/>
          <w:szCs w:val="24"/>
          <w:lang w:val="es-ES" w:eastAsia="pt-PT"/>
        </w:rPr>
      </w:pPr>
      <w:r w:rsidRPr="00921CA0">
        <w:rPr>
          <w:rFonts w:ascii="Times New Roman" w:hAnsi="Times New Roman" w:cs="Times New Roman"/>
          <w:sz w:val="24"/>
          <w:szCs w:val="24"/>
          <w:lang w:val="es-ES"/>
        </w:rPr>
        <w:t>La última crisis económica y financiera que ha sufrido la economía a partir del verano del 2007 ha traído consecuencias para las economías a nivel mundial</w:t>
      </w:r>
      <w:r w:rsidR="00541E70" w:rsidRPr="00921CA0">
        <w:rPr>
          <w:rFonts w:ascii="Times New Roman" w:hAnsi="Times New Roman" w:cs="Times New Roman"/>
          <w:sz w:val="24"/>
          <w:szCs w:val="24"/>
          <w:lang w:val="es-ES"/>
        </w:rPr>
        <w:t xml:space="preserve">. </w:t>
      </w:r>
      <w:r w:rsidRPr="00921CA0">
        <w:rPr>
          <w:rFonts w:ascii="Times New Roman" w:hAnsi="Times New Roman" w:cs="Times New Roman"/>
          <w:sz w:val="24"/>
          <w:szCs w:val="24"/>
          <w:lang w:val="es-ES"/>
        </w:rPr>
        <w:t xml:space="preserve">En un intento de controlar la mala evolución de las </w:t>
      </w:r>
      <w:proofErr w:type="spellStart"/>
      <w:r w:rsidRPr="00921CA0">
        <w:rPr>
          <w:rFonts w:ascii="Times New Roman" w:hAnsi="Times New Roman" w:cs="Times New Roman"/>
          <w:sz w:val="24"/>
          <w:szCs w:val="24"/>
          <w:lang w:val="es-ES"/>
        </w:rPr>
        <w:t>macromagnitudes</w:t>
      </w:r>
      <w:proofErr w:type="spellEnd"/>
      <w:r w:rsidRPr="00921CA0">
        <w:rPr>
          <w:rFonts w:ascii="Times New Roman" w:hAnsi="Times New Roman" w:cs="Times New Roman"/>
          <w:sz w:val="24"/>
          <w:szCs w:val="24"/>
          <w:lang w:val="es-ES"/>
        </w:rPr>
        <w:t xml:space="preserve"> y de no generar una deuda pública insostenible o impagable </w:t>
      </w:r>
      <w:r w:rsidR="00F51ECB" w:rsidRPr="00921CA0">
        <w:rPr>
          <w:rFonts w:ascii="Times New Roman" w:hAnsi="Times New Roman" w:cs="Times New Roman"/>
          <w:sz w:val="24"/>
          <w:szCs w:val="24"/>
          <w:lang w:val="es-ES"/>
        </w:rPr>
        <w:t>muchos países</w:t>
      </w:r>
      <w:r w:rsidR="00634D53" w:rsidRPr="00921CA0">
        <w:rPr>
          <w:rFonts w:ascii="Times New Roman" w:hAnsi="Times New Roman" w:cs="Times New Roman"/>
          <w:sz w:val="24"/>
          <w:szCs w:val="24"/>
          <w:lang w:val="es-ES"/>
        </w:rPr>
        <w:t xml:space="preserve"> </w:t>
      </w:r>
      <w:r w:rsidRPr="00921CA0">
        <w:rPr>
          <w:rFonts w:ascii="Times New Roman" w:hAnsi="Times New Roman" w:cs="Times New Roman"/>
          <w:sz w:val="24"/>
          <w:szCs w:val="24"/>
          <w:lang w:val="es-ES"/>
        </w:rPr>
        <w:t>optaron por la austeridad en el gasto p</w:t>
      </w:r>
      <w:r w:rsidR="00F51ECB" w:rsidRPr="00921CA0">
        <w:rPr>
          <w:rFonts w:ascii="Times New Roman" w:hAnsi="Times New Roman" w:cs="Times New Roman"/>
          <w:sz w:val="24"/>
          <w:szCs w:val="24"/>
          <w:lang w:val="es-ES"/>
        </w:rPr>
        <w:t xml:space="preserve">úblico como mecanismo de ajuste que, con los años, </w:t>
      </w:r>
      <w:r w:rsidRPr="00921CA0">
        <w:rPr>
          <w:rFonts w:ascii="Times New Roman" w:hAnsi="Times New Roman" w:cs="Times New Roman"/>
          <w:sz w:val="24"/>
          <w:szCs w:val="24"/>
          <w:lang w:val="es-ES"/>
        </w:rPr>
        <w:t>se observó ineficaz y derivó en la adopción de medidas Keynesianas como intento de expansión de la economía.</w:t>
      </w:r>
      <w:r w:rsidR="009B2980" w:rsidRPr="00921CA0">
        <w:rPr>
          <w:rFonts w:ascii="Times New Roman" w:hAnsi="Times New Roman" w:cs="Times New Roman"/>
          <w:sz w:val="24"/>
          <w:szCs w:val="24"/>
          <w:lang w:val="es-ES"/>
        </w:rPr>
        <w:t xml:space="preserve"> En el caso español, </w:t>
      </w:r>
      <w:r w:rsidR="00591C79" w:rsidRPr="00921CA0">
        <w:rPr>
          <w:rFonts w:ascii="Times New Roman" w:hAnsi="Times New Roman" w:cs="Times New Roman"/>
          <w:sz w:val="24"/>
          <w:szCs w:val="24"/>
          <w:lang w:val="es-ES"/>
        </w:rPr>
        <w:t>aún hoy en día</w:t>
      </w:r>
      <w:r w:rsidR="00634D53" w:rsidRPr="00921CA0">
        <w:rPr>
          <w:rFonts w:ascii="Times New Roman" w:hAnsi="Times New Roman" w:cs="Times New Roman"/>
          <w:sz w:val="24"/>
          <w:szCs w:val="24"/>
          <w:lang w:val="es-ES"/>
        </w:rPr>
        <w:t xml:space="preserve"> </w:t>
      </w:r>
      <w:r w:rsidR="002840DC" w:rsidRPr="00921CA0">
        <w:rPr>
          <w:rFonts w:ascii="Times New Roman" w:hAnsi="Times New Roman" w:cs="Times New Roman"/>
          <w:sz w:val="24"/>
          <w:szCs w:val="24"/>
          <w:lang w:val="es-ES"/>
        </w:rPr>
        <w:t xml:space="preserve">se </w:t>
      </w:r>
      <w:r w:rsidR="00591C79" w:rsidRPr="00921CA0">
        <w:rPr>
          <w:rFonts w:ascii="Times New Roman" w:hAnsi="Times New Roman" w:cs="Times New Roman"/>
          <w:sz w:val="24"/>
          <w:szCs w:val="24"/>
          <w:lang w:val="es-ES"/>
        </w:rPr>
        <w:t>sigue optando por medidas de austeridad y de contención del gasto público sin la pertinente c</w:t>
      </w:r>
      <w:r w:rsidR="00B6349F" w:rsidRPr="00921CA0">
        <w:rPr>
          <w:rFonts w:ascii="Times New Roman" w:hAnsi="Times New Roman" w:cs="Times New Roman"/>
          <w:sz w:val="24"/>
          <w:szCs w:val="24"/>
          <w:lang w:val="es-ES"/>
        </w:rPr>
        <w:t xml:space="preserve">ompañía de medidas de estímulo, </w:t>
      </w:r>
      <w:r w:rsidR="00591C79" w:rsidRPr="00921CA0">
        <w:rPr>
          <w:rFonts w:ascii="Times New Roman" w:hAnsi="Times New Roman" w:cs="Times New Roman"/>
          <w:sz w:val="24"/>
          <w:szCs w:val="24"/>
          <w:lang w:val="es-ES"/>
        </w:rPr>
        <w:t>o</w:t>
      </w:r>
      <w:r w:rsidR="00B6349F" w:rsidRPr="00921CA0">
        <w:rPr>
          <w:rFonts w:ascii="Times New Roman" w:hAnsi="Times New Roman" w:cs="Times New Roman"/>
          <w:sz w:val="24"/>
          <w:szCs w:val="24"/>
          <w:lang w:val="es-ES"/>
        </w:rPr>
        <w:t xml:space="preserve"> aplicando </w:t>
      </w:r>
      <w:r w:rsidR="00166A7C" w:rsidRPr="00921CA0">
        <w:rPr>
          <w:rFonts w:ascii="Times New Roman" w:hAnsi="Times New Roman" w:cs="Times New Roman"/>
          <w:sz w:val="24"/>
          <w:szCs w:val="24"/>
          <w:lang w:val="es-ES"/>
        </w:rPr>
        <w:t xml:space="preserve"> </w:t>
      </w:r>
      <w:r w:rsidR="00591C79" w:rsidRPr="00921CA0">
        <w:rPr>
          <w:rFonts w:ascii="Times New Roman" w:hAnsi="Times New Roman" w:cs="Times New Roman"/>
          <w:sz w:val="24"/>
          <w:szCs w:val="24"/>
          <w:lang w:val="es-ES"/>
        </w:rPr>
        <w:t xml:space="preserve">medidas </w:t>
      </w:r>
      <w:r w:rsidR="00B6349F" w:rsidRPr="00921CA0">
        <w:rPr>
          <w:rFonts w:ascii="Times New Roman" w:hAnsi="Times New Roman" w:cs="Times New Roman"/>
          <w:sz w:val="24"/>
          <w:szCs w:val="24"/>
          <w:lang w:val="es-ES"/>
        </w:rPr>
        <w:t xml:space="preserve">insuficientes </w:t>
      </w:r>
      <w:r w:rsidR="00591C79" w:rsidRPr="00921CA0">
        <w:rPr>
          <w:rFonts w:ascii="Times New Roman" w:hAnsi="Times New Roman" w:cs="Times New Roman"/>
          <w:sz w:val="24"/>
          <w:szCs w:val="24"/>
          <w:lang w:val="es-ES"/>
        </w:rPr>
        <w:t>y/o mal gestionada</w:t>
      </w:r>
      <w:r w:rsidR="00541E70" w:rsidRPr="00921CA0">
        <w:rPr>
          <w:rFonts w:ascii="Times New Roman" w:hAnsi="Times New Roman" w:cs="Times New Roman"/>
          <w:sz w:val="24"/>
          <w:szCs w:val="24"/>
          <w:lang w:val="es-ES"/>
        </w:rPr>
        <w:t>s como el Plan E, Plan PIVE</w:t>
      </w:r>
      <w:r w:rsidR="006526B3" w:rsidRPr="00921CA0">
        <w:rPr>
          <w:rFonts w:ascii="Times New Roman" w:hAnsi="Times New Roman" w:cs="Times New Roman"/>
          <w:sz w:val="24"/>
          <w:szCs w:val="24"/>
          <w:lang w:val="es-ES"/>
        </w:rPr>
        <w:t xml:space="preserve"> </w:t>
      </w:r>
      <w:r w:rsidR="00166A7C" w:rsidRPr="00921CA0">
        <w:rPr>
          <w:rFonts w:ascii="Times New Roman" w:hAnsi="Times New Roman" w:cs="Times New Roman"/>
          <w:sz w:val="24"/>
          <w:szCs w:val="24"/>
          <w:lang w:val="es-ES"/>
        </w:rPr>
        <w:t>(</w:t>
      </w:r>
      <w:r w:rsidR="00B6349F" w:rsidRPr="00921CA0">
        <w:rPr>
          <w:rFonts w:ascii="Times New Roman" w:eastAsia="Times New Roman" w:hAnsi="Times New Roman" w:cs="Times New Roman"/>
          <w:sz w:val="24"/>
          <w:szCs w:val="24"/>
          <w:lang w:val="es-ES" w:eastAsia="pt-PT"/>
        </w:rPr>
        <w:t>Carrascal</w:t>
      </w:r>
      <w:r w:rsidR="009859D2" w:rsidRPr="00921CA0">
        <w:rPr>
          <w:rFonts w:ascii="Times New Roman" w:eastAsia="Times New Roman" w:hAnsi="Times New Roman" w:cs="Times New Roman"/>
          <w:sz w:val="24"/>
          <w:szCs w:val="24"/>
          <w:lang w:val="es-ES" w:eastAsia="pt-PT"/>
        </w:rPr>
        <w:t xml:space="preserve"> et al, 2014)</w:t>
      </w:r>
      <w:r w:rsidR="00DE6E37" w:rsidRPr="00921CA0">
        <w:rPr>
          <w:rFonts w:ascii="Times New Roman" w:hAnsi="Times New Roman" w:cs="Times New Roman"/>
          <w:sz w:val="24"/>
          <w:szCs w:val="24"/>
          <w:lang w:val="es-ES"/>
        </w:rPr>
        <w:t xml:space="preserve">. Todo ello </w:t>
      </w:r>
      <w:r w:rsidR="00591C79" w:rsidRPr="00921CA0">
        <w:rPr>
          <w:rFonts w:ascii="Times New Roman" w:hAnsi="Times New Roman" w:cs="Times New Roman"/>
          <w:sz w:val="24"/>
          <w:szCs w:val="24"/>
          <w:lang w:val="es-ES"/>
        </w:rPr>
        <w:t xml:space="preserve">ha derivado en las cifras de desempleo que tenemos hoy en día que superan el 24% (EPA-INE 2º trimestre de 2014), además de las propias características del sistema productivo español, un sistema en el que aproximadamente el 12,5% del peso se encontraba en el sector de la construcción </w:t>
      </w:r>
      <w:r w:rsidR="008D1517" w:rsidRPr="00921CA0">
        <w:rPr>
          <w:rFonts w:ascii="Times New Roman" w:hAnsi="Times New Roman" w:cs="Times New Roman"/>
          <w:sz w:val="24"/>
          <w:szCs w:val="24"/>
          <w:lang w:val="es-ES"/>
        </w:rPr>
        <w:t xml:space="preserve">en el año 2008,  </w:t>
      </w:r>
      <w:r w:rsidR="00591C79" w:rsidRPr="00921CA0">
        <w:rPr>
          <w:rFonts w:ascii="Times New Roman" w:hAnsi="Times New Roman" w:cs="Times New Roman"/>
          <w:sz w:val="24"/>
          <w:szCs w:val="24"/>
          <w:lang w:val="es-ES"/>
        </w:rPr>
        <w:t>uno de los que más ha sufrido la crisis en forma de estalli</w:t>
      </w:r>
      <w:r w:rsidR="008D1517" w:rsidRPr="00921CA0">
        <w:rPr>
          <w:rFonts w:ascii="Times New Roman" w:hAnsi="Times New Roman" w:cs="Times New Roman"/>
          <w:sz w:val="24"/>
          <w:szCs w:val="24"/>
          <w:lang w:val="es-ES"/>
        </w:rPr>
        <w:t>do de una burbuja inmobiliaria (</w:t>
      </w:r>
      <w:r w:rsidR="00591C79" w:rsidRPr="00921CA0">
        <w:rPr>
          <w:rFonts w:ascii="Times New Roman" w:hAnsi="Times New Roman" w:cs="Times New Roman"/>
          <w:sz w:val="24"/>
          <w:szCs w:val="24"/>
          <w:lang w:val="es-ES"/>
        </w:rPr>
        <w:t>solamente</w:t>
      </w:r>
      <w:r w:rsidR="008D1517" w:rsidRPr="00921CA0">
        <w:rPr>
          <w:rFonts w:ascii="Times New Roman" w:hAnsi="Times New Roman" w:cs="Times New Roman"/>
          <w:sz w:val="24"/>
          <w:szCs w:val="24"/>
          <w:lang w:val="es-ES"/>
        </w:rPr>
        <w:t xml:space="preserve"> superado por el financiero y de seguros </w:t>
      </w:r>
      <w:r w:rsidR="00591C79" w:rsidRPr="00921CA0">
        <w:rPr>
          <w:rFonts w:ascii="Times New Roman" w:hAnsi="Times New Roman" w:cs="Times New Roman"/>
          <w:sz w:val="24"/>
          <w:szCs w:val="24"/>
          <w:lang w:val="es-ES"/>
        </w:rPr>
        <w:t xml:space="preserve"> </w:t>
      </w:r>
      <w:r w:rsidR="008D1517" w:rsidRPr="00921CA0">
        <w:rPr>
          <w:rFonts w:ascii="Times New Roman" w:hAnsi="Times New Roman" w:cs="Times New Roman"/>
          <w:sz w:val="24"/>
          <w:szCs w:val="24"/>
          <w:lang w:val="es-ES"/>
        </w:rPr>
        <w:t>muy conectado</w:t>
      </w:r>
      <w:r w:rsidR="00591C79" w:rsidRPr="00921CA0">
        <w:rPr>
          <w:rFonts w:ascii="Times New Roman" w:hAnsi="Times New Roman" w:cs="Times New Roman"/>
          <w:sz w:val="24"/>
          <w:szCs w:val="24"/>
          <w:lang w:val="es-ES"/>
        </w:rPr>
        <w:t xml:space="preserve">s </w:t>
      </w:r>
      <w:r w:rsidR="008D1517" w:rsidRPr="00921CA0">
        <w:rPr>
          <w:rFonts w:ascii="Times New Roman" w:hAnsi="Times New Roman" w:cs="Times New Roman"/>
          <w:sz w:val="24"/>
          <w:szCs w:val="24"/>
          <w:lang w:val="es-ES"/>
        </w:rPr>
        <w:t xml:space="preserve">también </w:t>
      </w:r>
      <w:r w:rsidR="00591C79" w:rsidRPr="00921CA0">
        <w:rPr>
          <w:rFonts w:ascii="Times New Roman" w:hAnsi="Times New Roman" w:cs="Times New Roman"/>
          <w:sz w:val="24"/>
          <w:szCs w:val="24"/>
          <w:lang w:val="es-ES"/>
        </w:rPr>
        <w:t xml:space="preserve">con la evolución del mercado inmobiliario), y que en </w:t>
      </w:r>
      <w:r w:rsidR="008D1517" w:rsidRPr="00921CA0">
        <w:rPr>
          <w:rFonts w:ascii="Times New Roman" w:hAnsi="Times New Roman" w:cs="Times New Roman"/>
          <w:sz w:val="24"/>
          <w:szCs w:val="24"/>
          <w:lang w:val="es-ES"/>
        </w:rPr>
        <w:t>2012</w:t>
      </w:r>
      <w:r w:rsidR="00591C79" w:rsidRPr="00921CA0">
        <w:rPr>
          <w:rFonts w:ascii="Times New Roman" w:hAnsi="Times New Roman" w:cs="Times New Roman"/>
          <w:sz w:val="24"/>
          <w:szCs w:val="24"/>
          <w:lang w:val="es-ES"/>
        </w:rPr>
        <w:t xml:space="preserve"> se sitúa por debajo del 8% (CNE-INE, 2014).</w:t>
      </w:r>
      <w:r w:rsidR="00166A7C" w:rsidRPr="00921CA0">
        <w:rPr>
          <w:rFonts w:ascii="Times New Roman" w:hAnsi="Times New Roman" w:cs="Times New Roman"/>
          <w:sz w:val="24"/>
          <w:szCs w:val="24"/>
          <w:lang w:val="es-ES"/>
        </w:rPr>
        <w:t xml:space="preserve">  </w:t>
      </w:r>
    </w:p>
    <w:p w:rsidR="00591C79" w:rsidRPr="00921CA0" w:rsidRDefault="004E65B4" w:rsidP="00591C79">
      <w:pPr>
        <w:spacing w:before="120" w:after="120" w:line="360" w:lineRule="auto"/>
        <w:jc w:val="both"/>
        <w:rPr>
          <w:rFonts w:ascii="Times New Roman" w:hAnsi="Times New Roman" w:cs="Times New Roman"/>
          <w:sz w:val="24"/>
          <w:szCs w:val="24"/>
          <w:lang w:val="es-ES"/>
        </w:rPr>
      </w:pPr>
      <w:r w:rsidRPr="00921CA0">
        <w:rPr>
          <w:rFonts w:ascii="Times New Roman" w:hAnsi="Times New Roman" w:cs="Times New Roman"/>
          <w:sz w:val="24"/>
          <w:szCs w:val="24"/>
          <w:lang w:val="es-ES"/>
        </w:rPr>
        <w:t>El incremento del desempleo junto con el dec</w:t>
      </w:r>
      <w:r w:rsidR="00591C79" w:rsidRPr="00921CA0">
        <w:rPr>
          <w:rFonts w:ascii="Times New Roman" w:hAnsi="Times New Roman" w:cs="Times New Roman"/>
          <w:sz w:val="24"/>
          <w:szCs w:val="24"/>
          <w:lang w:val="es-ES"/>
        </w:rPr>
        <w:t xml:space="preserve">recimiento de </w:t>
      </w:r>
      <w:proofErr w:type="spellStart"/>
      <w:r w:rsidR="00591C79" w:rsidRPr="00921CA0">
        <w:rPr>
          <w:rFonts w:ascii="Times New Roman" w:hAnsi="Times New Roman" w:cs="Times New Roman"/>
          <w:sz w:val="24"/>
          <w:szCs w:val="24"/>
          <w:lang w:val="es-ES"/>
        </w:rPr>
        <w:t>macromagnitudes</w:t>
      </w:r>
      <w:proofErr w:type="spellEnd"/>
      <w:r w:rsidR="00591C79" w:rsidRPr="00921CA0">
        <w:rPr>
          <w:rFonts w:ascii="Times New Roman" w:hAnsi="Times New Roman" w:cs="Times New Roman"/>
          <w:sz w:val="24"/>
          <w:szCs w:val="24"/>
          <w:lang w:val="es-ES"/>
        </w:rPr>
        <w:t xml:space="preserve"> como el PIB y/o el Consumo Final de los Hogares (</w:t>
      </w:r>
      <w:r w:rsidR="00F6492B" w:rsidRPr="00921CA0">
        <w:rPr>
          <w:rFonts w:ascii="Times New Roman" w:hAnsi="Times New Roman" w:cs="Times New Roman"/>
          <w:sz w:val="24"/>
          <w:szCs w:val="24"/>
          <w:lang w:val="es-ES"/>
        </w:rPr>
        <w:t>CNE-</w:t>
      </w:r>
      <w:r w:rsidR="00634D53" w:rsidRPr="00921CA0">
        <w:rPr>
          <w:rFonts w:ascii="Times New Roman" w:hAnsi="Times New Roman" w:cs="Times New Roman"/>
          <w:sz w:val="24"/>
          <w:szCs w:val="24"/>
          <w:lang w:val="es-ES"/>
        </w:rPr>
        <w:t xml:space="preserve">INE) </w:t>
      </w:r>
      <w:r w:rsidR="00591C79" w:rsidRPr="00921CA0">
        <w:rPr>
          <w:rFonts w:ascii="Times New Roman" w:hAnsi="Times New Roman" w:cs="Times New Roman"/>
          <w:sz w:val="24"/>
          <w:szCs w:val="24"/>
          <w:lang w:val="es-ES"/>
        </w:rPr>
        <w:t>en estos años de crisis es muestra de que la sociedad española ha sufrido un empobrecimiento generalizado</w:t>
      </w:r>
      <w:r w:rsidR="00634D53" w:rsidRPr="00921CA0">
        <w:rPr>
          <w:rFonts w:ascii="Times New Roman" w:hAnsi="Times New Roman" w:cs="Times New Roman"/>
          <w:sz w:val="24"/>
          <w:szCs w:val="24"/>
          <w:lang w:val="es-ES"/>
        </w:rPr>
        <w:t xml:space="preserve">. </w:t>
      </w:r>
      <w:r w:rsidR="00591C79" w:rsidRPr="00921CA0">
        <w:rPr>
          <w:rFonts w:ascii="Times New Roman" w:hAnsi="Times New Roman" w:cs="Times New Roman"/>
          <w:sz w:val="24"/>
          <w:szCs w:val="24"/>
          <w:lang w:val="es-ES"/>
        </w:rPr>
        <w:t xml:space="preserve">En concordancia, la renta </w:t>
      </w:r>
      <w:r w:rsidRPr="00921CA0">
        <w:rPr>
          <w:rFonts w:ascii="Times New Roman" w:hAnsi="Times New Roman" w:cs="Times New Roman"/>
          <w:sz w:val="24"/>
          <w:szCs w:val="24"/>
          <w:lang w:val="es-ES"/>
        </w:rPr>
        <w:t>disponible</w:t>
      </w:r>
      <w:r w:rsidR="00591C79" w:rsidRPr="00921CA0">
        <w:rPr>
          <w:rFonts w:ascii="Times New Roman" w:hAnsi="Times New Roman" w:cs="Times New Roman"/>
          <w:sz w:val="24"/>
          <w:szCs w:val="24"/>
          <w:lang w:val="es-ES"/>
        </w:rPr>
        <w:t xml:space="preserve"> en unidades monetarias corrientes ha disminuido como nos muestran los </w:t>
      </w:r>
      <w:r w:rsidRPr="00921CA0">
        <w:rPr>
          <w:rFonts w:ascii="Times New Roman" w:hAnsi="Times New Roman" w:cs="Times New Roman"/>
          <w:sz w:val="24"/>
          <w:szCs w:val="24"/>
          <w:lang w:val="es-ES"/>
        </w:rPr>
        <w:t>datos</w:t>
      </w:r>
      <w:r w:rsidR="00591C79" w:rsidRPr="00921CA0">
        <w:rPr>
          <w:rFonts w:ascii="Times New Roman" w:hAnsi="Times New Roman" w:cs="Times New Roman"/>
          <w:sz w:val="24"/>
          <w:szCs w:val="24"/>
          <w:lang w:val="es-ES"/>
        </w:rPr>
        <w:t xml:space="preserve"> de las Encues</w:t>
      </w:r>
      <w:r w:rsidR="00F6492B" w:rsidRPr="00921CA0">
        <w:rPr>
          <w:rFonts w:ascii="Times New Roman" w:hAnsi="Times New Roman" w:cs="Times New Roman"/>
          <w:sz w:val="24"/>
          <w:szCs w:val="24"/>
          <w:lang w:val="es-ES"/>
        </w:rPr>
        <w:t>tas de Condiciones de Vida (ECV-</w:t>
      </w:r>
      <w:r w:rsidR="00591C79" w:rsidRPr="00921CA0">
        <w:rPr>
          <w:rFonts w:ascii="Times New Roman" w:hAnsi="Times New Roman" w:cs="Times New Roman"/>
          <w:sz w:val="24"/>
          <w:szCs w:val="24"/>
          <w:lang w:val="es-ES"/>
        </w:rPr>
        <w:t>INE), de la</w:t>
      </w:r>
      <w:r w:rsidR="00F6492B" w:rsidRPr="00921CA0">
        <w:rPr>
          <w:rFonts w:ascii="Times New Roman" w:hAnsi="Times New Roman" w:cs="Times New Roman"/>
          <w:sz w:val="24"/>
          <w:szCs w:val="24"/>
          <w:lang w:val="es-ES"/>
        </w:rPr>
        <w:t>s</w:t>
      </w:r>
      <w:r w:rsidR="00591C79" w:rsidRPr="00921CA0">
        <w:rPr>
          <w:rFonts w:ascii="Times New Roman" w:hAnsi="Times New Roman" w:cs="Times New Roman"/>
          <w:sz w:val="24"/>
          <w:szCs w:val="24"/>
          <w:lang w:val="es-ES"/>
        </w:rPr>
        <w:t xml:space="preserve"> que también se concluye que la desigualdad relativa del ingreso ha aumentado (el índice de </w:t>
      </w:r>
      <w:proofErr w:type="spellStart"/>
      <w:r w:rsidR="00591C79" w:rsidRPr="00921CA0">
        <w:rPr>
          <w:rFonts w:ascii="Times New Roman" w:hAnsi="Times New Roman" w:cs="Times New Roman"/>
          <w:sz w:val="24"/>
          <w:szCs w:val="24"/>
          <w:lang w:val="es-ES"/>
        </w:rPr>
        <w:t>Gini</w:t>
      </w:r>
      <w:proofErr w:type="spellEnd"/>
      <w:r w:rsidR="00591C79" w:rsidRPr="00921CA0">
        <w:rPr>
          <w:rFonts w:ascii="Times New Roman" w:hAnsi="Times New Roman" w:cs="Times New Roman"/>
          <w:sz w:val="24"/>
          <w:szCs w:val="24"/>
          <w:lang w:val="es-ES"/>
        </w:rPr>
        <w:t xml:space="preserve"> ha pasado de 31.9% en 2008 a 35% en 2012) al igual que la p</w:t>
      </w:r>
      <w:r w:rsidR="00F6492B" w:rsidRPr="00921CA0">
        <w:rPr>
          <w:rFonts w:ascii="Times New Roman" w:hAnsi="Times New Roman" w:cs="Times New Roman"/>
          <w:sz w:val="24"/>
          <w:szCs w:val="24"/>
          <w:lang w:val="es-ES"/>
        </w:rPr>
        <w:t>obreza relativa (la tasa de riesgo de p</w:t>
      </w:r>
      <w:r w:rsidR="00591C79" w:rsidRPr="00921CA0">
        <w:rPr>
          <w:rFonts w:ascii="Times New Roman" w:hAnsi="Times New Roman" w:cs="Times New Roman"/>
          <w:sz w:val="24"/>
          <w:szCs w:val="24"/>
          <w:lang w:val="es-ES"/>
        </w:rPr>
        <w:t xml:space="preserve">obreza sube del 20.8% en 2008 a 22.2% en 2012). </w:t>
      </w:r>
    </w:p>
    <w:p w:rsidR="006C02BD" w:rsidRPr="00921CA0" w:rsidRDefault="006C02BD" w:rsidP="00AD37B1">
      <w:pPr>
        <w:spacing w:before="120" w:after="120" w:line="360" w:lineRule="auto"/>
        <w:jc w:val="both"/>
        <w:rPr>
          <w:rFonts w:ascii="Times New Roman" w:hAnsi="Times New Roman" w:cs="Times New Roman"/>
          <w:sz w:val="24"/>
          <w:szCs w:val="24"/>
          <w:lang w:val="es-ES"/>
        </w:rPr>
      </w:pPr>
      <w:r w:rsidRPr="00921CA0">
        <w:rPr>
          <w:rFonts w:ascii="Times New Roman" w:hAnsi="Times New Roman" w:cs="Times New Roman"/>
          <w:sz w:val="24"/>
          <w:szCs w:val="24"/>
          <w:lang w:val="es-ES"/>
        </w:rPr>
        <w:t xml:space="preserve">Además de que los indicadores reflejen un mayor número de pobres hay que hacer hincapié en que </w:t>
      </w:r>
      <w:r w:rsidR="00541E70" w:rsidRPr="00921CA0">
        <w:rPr>
          <w:rFonts w:ascii="Times New Roman" w:hAnsi="Times New Roman" w:cs="Times New Roman"/>
          <w:sz w:val="24"/>
          <w:szCs w:val="24"/>
          <w:lang w:val="es-ES"/>
        </w:rPr>
        <w:t>la pobreza</w:t>
      </w:r>
      <w:r w:rsidRPr="00921CA0">
        <w:rPr>
          <w:rFonts w:ascii="Times New Roman" w:hAnsi="Times New Roman" w:cs="Times New Roman"/>
          <w:sz w:val="24"/>
          <w:szCs w:val="24"/>
          <w:lang w:val="es-ES"/>
        </w:rPr>
        <w:t xml:space="preserve"> no </w:t>
      </w:r>
      <w:r w:rsidR="00541E70" w:rsidRPr="00921CA0">
        <w:rPr>
          <w:rFonts w:ascii="Times New Roman" w:hAnsi="Times New Roman" w:cs="Times New Roman"/>
          <w:sz w:val="24"/>
          <w:szCs w:val="24"/>
          <w:lang w:val="es-ES"/>
        </w:rPr>
        <w:t>castiga</w:t>
      </w:r>
      <w:r w:rsidRPr="00921CA0">
        <w:rPr>
          <w:rFonts w:ascii="Times New Roman" w:hAnsi="Times New Roman" w:cs="Times New Roman"/>
          <w:sz w:val="24"/>
          <w:szCs w:val="24"/>
          <w:lang w:val="es-ES"/>
        </w:rPr>
        <w:t xml:space="preserve"> de igual manera a todos los colectivos de la sociedad, siendo niños y jóvenes los más afectados en la </w:t>
      </w:r>
      <w:r w:rsidRPr="00796C9A">
        <w:rPr>
          <w:rFonts w:ascii="Times New Roman" w:hAnsi="Times New Roman" w:cs="Times New Roman"/>
          <w:sz w:val="24"/>
          <w:szCs w:val="24"/>
          <w:lang w:val="es-ES"/>
        </w:rPr>
        <w:t>actualidad (</w:t>
      </w:r>
      <w:r w:rsidR="00541E70" w:rsidRPr="00796C9A">
        <w:rPr>
          <w:rFonts w:ascii="Times New Roman" w:hAnsi="Times New Roman" w:cs="Times New Roman"/>
          <w:sz w:val="24"/>
          <w:szCs w:val="24"/>
          <w:lang w:val="es-ES"/>
        </w:rPr>
        <w:t>Cantó y Ayala</w:t>
      </w:r>
      <w:r w:rsidR="008165AE" w:rsidRPr="00796C9A">
        <w:rPr>
          <w:rFonts w:ascii="Times New Roman" w:hAnsi="Times New Roman" w:cs="Times New Roman"/>
          <w:sz w:val="24"/>
          <w:szCs w:val="24"/>
          <w:lang w:val="es-ES"/>
        </w:rPr>
        <w:t>,</w:t>
      </w:r>
      <w:r w:rsidR="008165AE" w:rsidRPr="00921CA0">
        <w:rPr>
          <w:rFonts w:ascii="Times New Roman" w:hAnsi="Times New Roman" w:cs="Times New Roman"/>
          <w:sz w:val="24"/>
          <w:szCs w:val="24"/>
          <w:lang w:val="es-ES"/>
        </w:rPr>
        <w:t xml:space="preserve"> 2014; Fundación FOESSA, 2014</w:t>
      </w:r>
      <w:r w:rsidR="00404240" w:rsidRPr="00921CA0">
        <w:rPr>
          <w:rFonts w:ascii="Times New Roman" w:hAnsi="Times New Roman" w:cs="Times New Roman"/>
          <w:sz w:val="24"/>
          <w:szCs w:val="24"/>
          <w:lang w:val="es-ES"/>
        </w:rPr>
        <w:t>), al</w:t>
      </w:r>
      <w:r w:rsidR="00541E70" w:rsidRPr="00921CA0">
        <w:rPr>
          <w:rFonts w:ascii="Times New Roman" w:hAnsi="Times New Roman" w:cs="Times New Roman"/>
          <w:sz w:val="24"/>
          <w:szCs w:val="24"/>
          <w:lang w:val="es-ES"/>
        </w:rPr>
        <w:t xml:space="preserve"> contrario</w:t>
      </w:r>
      <w:r w:rsidR="00404240" w:rsidRPr="00921CA0">
        <w:rPr>
          <w:rFonts w:ascii="Times New Roman" w:hAnsi="Times New Roman" w:cs="Times New Roman"/>
          <w:sz w:val="24"/>
          <w:szCs w:val="24"/>
          <w:lang w:val="es-ES"/>
        </w:rPr>
        <w:t xml:space="preserve"> que el colectivo de 65 o más años que ha visto descender su ta</w:t>
      </w:r>
      <w:r w:rsidR="00541E70" w:rsidRPr="00921CA0">
        <w:rPr>
          <w:rFonts w:ascii="Times New Roman" w:hAnsi="Times New Roman" w:cs="Times New Roman"/>
          <w:sz w:val="24"/>
          <w:szCs w:val="24"/>
          <w:lang w:val="es-ES"/>
        </w:rPr>
        <w:t>sa de riesgo de pobreza (ECV, INE)</w:t>
      </w:r>
      <w:r w:rsidR="00404240" w:rsidRPr="00921CA0">
        <w:rPr>
          <w:rFonts w:ascii="Times New Roman" w:hAnsi="Times New Roman" w:cs="Times New Roman"/>
          <w:sz w:val="24"/>
          <w:szCs w:val="24"/>
          <w:lang w:val="es-ES"/>
        </w:rPr>
        <w:t>.</w:t>
      </w:r>
      <w:r w:rsidR="00541E70" w:rsidRPr="00921CA0">
        <w:rPr>
          <w:rFonts w:ascii="Times New Roman" w:hAnsi="Times New Roman" w:cs="Times New Roman"/>
          <w:sz w:val="24"/>
          <w:szCs w:val="24"/>
          <w:lang w:val="es-ES"/>
        </w:rPr>
        <w:t xml:space="preserve"> </w:t>
      </w:r>
      <w:r w:rsidR="00404240" w:rsidRPr="00921CA0">
        <w:rPr>
          <w:rFonts w:ascii="Times New Roman" w:hAnsi="Times New Roman" w:cs="Times New Roman"/>
          <w:sz w:val="24"/>
          <w:szCs w:val="24"/>
          <w:lang w:val="es-ES"/>
        </w:rPr>
        <w:t xml:space="preserve">Sin embargo, respecto a este último grupo </w:t>
      </w:r>
      <w:r w:rsidRPr="00921CA0">
        <w:rPr>
          <w:rFonts w:ascii="Times New Roman" w:hAnsi="Times New Roman" w:cs="Times New Roman"/>
          <w:sz w:val="24"/>
          <w:szCs w:val="24"/>
          <w:lang w:val="es-ES"/>
        </w:rPr>
        <w:t xml:space="preserve">debemos tener en cuenta que </w:t>
      </w:r>
      <w:r w:rsidR="00404240" w:rsidRPr="00921CA0">
        <w:rPr>
          <w:rFonts w:ascii="Times New Roman" w:hAnsi="Times New Roman" w:cs="Times New Roman"/>
          <w:sz w:val="24"/>
          <w:szCs w:val="24"/>
          <w:lang w:val="es-ES"/>
        </w:rPr>
        <w:t xml:space="preserve">el descenso del porcentaje de pobres </w:t>
      </w:r>
      <w:r w:rsidRPr="00921CA0">
        <w:rPr>
          <w:rFonts w:ascii="Times New Roman" w:hAnsi="Times New Roman" w:cs="Times New Roman"/>
          <w:sz w:val="24"/>
          <w:szCs w:val="24"/>
          <w:lang w:val="es-ES"/>
        </w:rPr>
        <w:t xml:space="preserve"> es un reflejo de la mayor estabilidad </w:t>
      </w:r>
      <w:r w:rsidR="00404240" w:rsidRPr="00921CA0">
        <w:rPr>
          <w:rFonts w:ascii="Times New Roman" w:hAnsi="Times New Roman" w:cs="Times New Roman"/>
          <w:sz w:val="24"/>
          <w:szCs w:val="24"/>
          <w:lang w:val="es-ES"/>
        </w:rPr>
        <w:t xml:space="preserve">(en términos monetarios) </w:t>
      </w:r>
      <w:r w:rsidRPr="00921CA0">
        <w:rPr>
          <w:rFonts w:ascii="Times New Roman" w:hAnsi="Times New Roman" w:cs="Times New Roman"/>
          <w:sz w:val="24"/>
          <w:szCs w:val="24"/>
          <w:lang w:val="es-ES"/>
        </w:rPr>
        <w:t xml:space="preserve">de las pensiones por jubilación </w:t>
      </w:r>
      <w:r w:rsidRPr="00921CA0">
        <w:rPr>
          <w:rFonts w:ascii="Times New Roman" w:hAnsi="Times New Roman" w:cs="Times New Roman"/>
          <w:sz w:val="24"/>
          <w:szCs w:val="24"/>
          <w:lang w:val="es-ES"/>
        </w:rPr>
        <w:lastRenderedPageBreak/>
        <w:t xml:space="preserve">frente a la caída y pérdida de los salarios de los trabajadores que </w:t>
      </w:r>
      <w:r w:rsidR="00EA023B" w:rsidRPr="00921CA0">
        <w:rPr>
          <w:rFonts w:ascii="Times New Roman" w:hAnsi="Times New Roman" w:cs="Times New Roman"/>
          <w:sz w:val="24"/>
          <w:szCs w:val="24"/>
          <w:lang w:val="es-ES"/>
        </w:rPr>
        <w:t xml:space="preserve">tiran </w:t>
      </w:r>
      <w:r w:rsidR="00404240" w:rsidRPr="00921CA0">
        <w:rPr>
          <w:rFonts w:ascii="Times New Roman" w:hAnsi="Times New Roman" w:cs="Times New Roman"/>
          <w:sz w:val="24"/>
          <w:szCs w:val="24"/>
          <w:lang w:val="es-ES"/>
        </w:rPr>
        <w:t xml:space="preserve">hacia abajo </w:t>
      </w:r>
      <w:r w:rsidR="00EA023B" w:rsidRPr="00921CA0">
        <w:rPr>
          <w:rFonts w:ascii="Times New Roman" w:hAnsi="Times New Roman" w:cs="Times New Roman"/>
          <w:sz w:val="24"/>
          <w:szCs w:val="24"/>
          <w:lang w:val="es-ES"/>
        </w:rPr>
        <w:t xml:space="preserve">de la mediana </w:t>
      </w:r>
      <w:r w:rsidRPr="00921CA0">
        <w:rPr>
          <w:rFonts w:ascii="Times New Roman" w:hAnsi="Times New Roman" w:cs="Times New Roman"/>
          <w:sz w:val="24"/>
          <w:szCs w:val="24"/>
          <w:lang w:val="es-ES"/>
        </w:rPr>
        <w:t>de los ingresos, y consecuentemente de la línea de pobreza, provocando que</w:t>
      </w:r>
      <w:r w:rsidR="00404240" w:rsidRPr="00921CA0">
        <w:rPr>
          <w:rFonts w:ascii="Times New Roman" w:hAnsi="Times New Roman" w:cs="Times New Roman"/>
          <w:sz w:val="24"/>
          <w:szCs w:val="24"/>
          <w:lang w:val="es-ES"/>
        </w:rPr>
        <w:t xml:space="preserve"> una parte de las personas de 65 o más años, </w:t>
      </w:r>
      <w:r w:rsidRPr="00921CA0">
        <w:rPr>
          <w:rFonts w:ascii="Times New Roman" w:hAnsi="Times New Roman" w:cs="Times New Roman"/>
          <w:sz w:val="24"/>
          <w:szCs w:val="24"/>
          <w:lang w:val="es-ES"/>
        </w:rPr>
        <w:t>que en otro contexto serían consideradas pobre</w:t>
      </w:r>
      <w:r w:rsidR="00EA023B" w:rsidRPr="00921CA0">
        <w:rPr>
          <w:rFonts w:ascii="Times New Roman" w:hAnsi="Times New Roman" w:cs="Times New Roman"/>
          <w:sz w:val="24"/>
          <w:szCs w:val="24"/>
          <w:lang w:val="es-ES"/>
        </w:rPr>
        <w:t>s</w:t>
      </w:r>
      <w:r w:rsidR="00404240" w:rsidRPr="00921CA0">
        <w:rPr>
          <w:rFonts w:ascii="Times New Roman" w:hAnsi="Times New Roman" w:cs="Times New Roman"/>
          <w:sz w:val="24"/>
          <w:szCs w:val="24"/>
          <w:lang w:val="es-ES"/>
        </w:rPr>
        <w:t>,</w:t>
      </w:r>
      <w:r w:rsidRPr="00921CA0">
        <w:rPr>
          <w:rFonts w:ascii="Times New Roman" w:hAnsi="Times New Roman" w:cs="Times New Roman"/>
          <w:sz w:val="24"/>
          <w:szCs w:val="24"/>
          <w:lang w:val="es-ES"/>
        </w:rPr>
        <w:t xml:space="preserve"> no lo sean en este porque la sociedad española se ha empobrecido en términos generales.</w:t>
      </w:r>
      <w:r w:rsidR="002D6B18" w:rsidRPr="00921CA0">
        <w:rPr>
          <w:rFonts w:ascii="Times New Roman" w:hAnsi="Times New Roman" w:cs="Times New Roman"/>
          <w:sz w:val="24"/>
          <w:szCs w:val="24"/>
          <w:lang w:val="es-ES"/>
        </w:rPr>
        <w:t xml:space="preserve"> Tanto es así que en los últimos años se ha empezado a hablar de “nuevos pobres</w:t>
      </w:r>
      <w:r w:rsidR="002D6B18" w:rsidRPr="00796C9A">
        <w:rPr>
          <w:rFonts w:ascii="Times New Roman" w:hAnsi="Times New Roman" w:cs="Times New Roman"/>
          <w:sz w:val="24"/>
          <w:szCs w:val="24"/>
          <w:lang w:val="es-ES"/>
        </w:rPr>
        <w:t>”</w:t>
      </w:r>
      <w:r w:rsidR="00A502C6" w:rsidRPr="00796C9A">
        <w:rPr>
          <w:rFonts w:ascii="Times New Roman" w:hAnsi="Times New Roman" w:cs="Times New Roman"/>
          <w:sz w:val="24"/>
          <w:szCs w:val="24"/>
          <w:lang w:val="es-ES"/>
        </w:rPr>
        <w:t xml:space="preserve"> (</w:t>
      </w:r>
      <w:r w:rsidR="00404240" w:rsidRPr="00796C9A">
        <w:rPr>
          <w:rFonts w:ascii="Times New Roman" w:hAnsi="Times New Roman" w:cs="Times New Roman"/>
          <w:sz w:val="24"/>
          <w:szCs w:val="24"/>
          <w:lang w:val="es-ES"/>
        </w:rPr>
        <w:t>Olmedo</w:t>
      </w:r>
      <w:r w:rsidR="008165AE" w:rsidRPr="00796C9A">
        <w:rPr>
          <w:rFonts w:ascii="Times New Roman" w:hAnsi="Times New Roman" w:cs="Times New Roman"/>
          <w:sz w:val="24"/>
          <w:szCs w:val="24"/>
          <w:lang w:val="es-ES"/>
        </w:rPr>
        <w:t>, 2012</w:t>
      </w:r>
      <w:r w:rsidR="00A502C6" w:rsidRPr="00796C9A">
        <w:rPr>
          <w:rFonts w:ascii="Times New Roman" w:hAnsi="Times New Roman" w:cs="Times New Roman"/>
          <w:sz w:val="24"/>
          <w:szCs w:val="24"/>
          <w:lang w:val="es-ES"/>
        </w:rPr>
        <w:t>)</w:t>
      </w:r>
      <w:r w:rsidR="002D6B18" w:rsidRPr="00796C9A">
        <w:rPr>
          <w:rFonts w:ascii="Times New Roman" w:hAnsi="Times New Roman" w:cs="Times New Roman"/>
          <w:sz w:val="24"/>
          <w:szCs w:val="24"/>
          <w:lang w:val="es-ES"/>
        </w:rPr>
        <w:t xml:space="preserve"> y de trabajadores</w:t>
      </w:r>
      <w:r w:rsidR="002D6B18" w:rsidRPr="00921CA0">
        <w:rPr>
          <w:rFonts w:ascii="Times New Roman" w:hAnsi="Times New Roman" w:cs="Times New Roman"/>
          <w:sz w:val="24"/>
          <w:szCs w:val="24"/>
          <w:lang w:val="es-ES"/>
        </w:rPr>
        <w:t xml:space="preserve"> pobres</w:t>
      </w:r>
      <w:r w:rsidR="00921CA0">
        <w:rPr>
          <w:rFonts w:ascii="Times New Roman" w:hAnsi="Times New Roman" w:cs="Times New Roman"/>
          <w:sz w:val="24"/>
          <w:szCs w:val="24"/>
          <w:lang w:val="es-ES"/>
        </w:rPr>
        <w:t xml:space="preserve"> (Aragón</w:t>
      </w:r>
      <w:r w:rsidR="00404240" w:rsidRPr="00921CA0">
        <w:rPr>
          <w:rFonts w:ascii="Times New Roman" w:hAnsi="Times New Roman" w:cs="Times New Roman"/>
          <w:sz w:val="24"/>
          <w:szCs w:val="24"/>
          <w:lang w:val="es-ES"/>
        </w:rPr>
        <w:t xml:space="preserve"> </w:t>
      </w:r>
      <w:r w:rsidR="00A502C6" w:rsidRPr="00921CA0">
        <w:rPr>
          <w:rFonts w:ascii="Times New Roman" w:hAnsi="Times New Roman" w:cs="Times New Roman"/>
          <w:sz w:val="24"/>
          <w:szCs w:val="24"/>
          <w:lang w:val="es-ES"/>
        </w:rPr>
        <w:t>et al, 2012), cuando, por def</w:t>
      </w:r>
      <w:r w:rsidR="003C4CAB" w:rsidRPr="00921CA0">
        <w:rPr>
          <w:rFonts w:ascii="Times New Roman" w:hAnsi="Times New Roman" w:cs="Times New Roman"/>
          <w:sz w:val="24"/>
          <w:szCs w:val="24"/>
          <w:lang w:val="es-ES"/>
        </w:rPr>
        <w:t>inición, una persona con trabajo</w:t>
      </w:r>
      <w:r w:rsidR="00A502C6" w:rsidRPr="00921CA0">
        <w:rPr>
          <w:rFonts w:ascii="Times New Roman" w:hAnsi="Times New Roman" w:cs="Times New Roman"/>
          <w:sz w:val="24"/>
          <w:szCs w:val="24"/>
          <w:lang w:val="es-ES"/>
        </w:rPr>
        <w:t xml:space="preserve"> no debería nunca ser catalogada con esta terminología ya que el trabajo es uno de los pilares básicos </w:t>
      </w:r>
      <w:r w:rsidR="004D3C3B" w:rsidRPr="00921CA0">
        <w:rPr>
          <w:rFonts w:ascii="Times New Roman" w:hAnsi="Times New Roman" w:cs="Times New Roman"/>
          <w:sz w:val="24"/>
          <w:szCs w:val="24"/>
          <w:lang w:val="es-ES"/>
        </w:rPr>
        <w:t>de los sistemas sociales actuales.</w:t>
      </w:r>
    </w:p>
    <w:p w:rsidR="004D3C3B" w:rsidRPr="00921CA0" w:rsidRDefault="0050233E" w:rsidP="00AD37B1">
      <w:pPr>
        <w:spacing w:before="120" w:after="120" w:line="360" w:lineRule="auto"/>
        <w:jc w:val="both"/>
        <w:rPr>
          <w:rFonts w:ascii="Times New Roman" w:hAnsi="Times New Roman" w:cs="Times New Roman"/>
          <w:sz w:val="24"/>
          <w:szCs w:val="24"/>
          <w:lang w:val="es-ES"/>
        </w:rPr>
      </w:pPr>
      <w:r w:rsidRPr="00921CA0">
        <w:rPr>
          <w:rFonts w:ascii="Times New Roman" w:hAnsi="Times New Roman" w:cs="Times New Roman"/>
          <w:sz w:val="24"/>
          <w:szCs w:val="24"/>
          <w:lang w:val="es-ES"/>
        </w:rPr>
        <w:t>En los estudios de pobreza en los que se trabaja con umbrales</w:t>
      </w:r>
      <w:r w:rsidR="00FC4C3B" w:rsidRPr="00921CA0">
        <w:rPr>
          <w:rFonts w:ascii="Times New Roman" w:hAnsi="Times New Roman" w:cs="Times New Roman"/>
          <w:sz w:val="24"/>
          <w:szCs w:val="24"/>
          <w:lang w:val="es-ES"/>
        </w:rPr>
        <w:t xml:space="preserve"> relativos</w:t>
      </w:r>
      <w:r w:rsidRPr="00921CA0">
        <w:rPr>
          <w:rFonts w:ascii="Times New Roman" w:hAnsi="Times New Roman" w:cs="Times New Roman"/>
          <w:sz w:val="24"/>
          <w:szCs w:val="24"/>
          <w:lang w:val="es-ES"/>
        </w:rPr>
        <w:t>,</w:t>
      </w:r>
      <w:r w:rsidR="00C47185" w:rsidRPr="00921CA0">
        <w:rPr>
          <w:rFonts w:ascii="Times New Roman" w:hAnsi="Times New Roman" w:cs="Times New Roman"/>
          <w:sz w:val="24"/>
          <w:szCs w:val="24"/>
          <w:lang w:val="es-ES"/>
        </w:rPr>
        <w:t xml:space="preserve"> como se hace habitualmente en España y país</w:t>
      </w:r>
      <w:r w:rsidR="00921CA0">
        <w:rPr>
          <w:rFonts w:ascii="Times New Roman" w:hAnsi="Times New Roman" w:cs="Times New Roman"/>
          <w:sz w:val="24"/>
          <w:szCs w:val="24"/>
          <w:lang w:val="es-ES"/>
        </w:rPr>
        <w:t>es</w:t>
      </w:r>
      <w:r w:rsidR="00C47185" w:rsidRPr="00921CA0">
        <w:rPr>
          <w:rFonts w:ascii="Times New Roman" w:hAnsi="Times New Roman" w:cs="Times New Roman"/>
          <w:sz w:val="24"/>
          <w:szCs w:val="24"/>
          <w:lang w:val="es-ES"/>
        </w:rPr>
        <w:t xml:space="preserve"> desarrollados,</w:t>
      </w:r>
      <w:r w:rsidR="00FC4C3B" w:rsidRPr="00921CA0">
        <w:rPr>
          <w:rFonts w:ascii="Times New Roman" w:hAnsi="Times New Roman" w:cs="Times New Roman"/>
          <w:sz w:val="24"/>
          <w:szCs w:val="24"/>
          <w:lang w:val="es-ES"/>
        </w:rPr>
        <w:t xml:space="preserve"> éstos </w:t>
      </w:r>
      <w:r w:rsidRPr="00921CA0">
        <w:rPr>
          <w:rFonts w:ascii="Times New Roman" w:hAnsi="Times New Roman" w:cs="Times New Roman"/>
          <w:sz w:val="24"/>
          <w:szCs w:val="24"/>
          <w:lang w:val="es-ES"/>
        </w:rPr>
        <w:t>está</w:t>
      </w:r>
      <w:r w:rsidR="00FC4C3B" w:rsidRPr="00921CA0">
        <w:rPr>
          <w:rFonts w:ascii="Times New Roman" w:hAnsi="Times New Roman" w:cs="Times New Roman"/>
          <w:sz w:val="24"/>
          <w:szCs w:val="24"/>
          <w:lang w:val="es-ES"/>
        </w:rPr>
        <w:t>n</w:t>
      </w:r>
      <w:r w:rsidRPr="00921CA0">
        <w:rPr>
          <w:rFonts w:ascii="Times New Roman" w:hAnsi="Times New Roman" w:cs="Times New Roman"/>
          <w:sz w:val="24"/>
          <w:szCs w:val="24"/>
          <w:lang w:val="es-ES"/>
        </w:rPr>
        <w:t xml:space="preserve"> referido</w:t>
      </w:r>
      <w:r w:rsidR="00FC4C3B" w:rsidRPr="00921CA0">
        <w:rPr>
          <w:rFonts w:ascii="Times New Roman" w:hAnsi="Times New Roman" w:cs="Times New Roman"/>
          <w:sz w:val="24"/>
          <w:szCs w:val="24"/>
          <w:lang w:val="es-ES"/>
        </w:rPr>
        <w:t>s</w:t>
      </w:r>
      <w:r w:rsidRPr="00921CA0">
        <w:rPr>
          <w:rFonts w:ascii="Times New Roman" w:hAnsi="Times New Roman" w:cs="Times New Roman"/>
          <w:sz w:val="24"/>
          <w:szCs w:val="24"/>
          <w:lang w:val="es-ES"/>
        </w:rPr>
        <w:t xml:space="preserve"> a las rentas concretas del año en el que </w:t>
      </w:r>
      <w:r w:rsidR="00FC4C3B" w:rsidRPr="00921CA0">
        <w:rPr>
          <w:rFonts w:ascii="Times New Roman" w:hAnsi="Times New Roman" w:cs="Times New Roman"/>
          <w:sz w:val="24"/>
          <w:szCs w:val="24"/>
          <w:lang w:val="es-ES"/>
        </w:rPr>
        <w:t>son</w:t>
      </w:r>
      <w:r w:rsidRPr="00921CA0">
        <w:rPr>
          <w:rFonts w:ascii="Times New Roman" w:hAnsi="Times New Roman" w:cs="Times New Roman"/>
          <w:sz w:val="24"/>
          <w:szCs w:val="24"/>
          <w:lang w:val="es-ES"/>
        </w:rPr>
        <w:t xml:space="preserve"> calculado</w:t>
      </w:r>
      <w:r w:rsidR="00FC4C3B" w:rsidRPr="00921CA0">
        <w:rPr>
          <w:rFonts w:ascii="Times New Roman" w:hAnsi="Times New Roman" w:cs="Times New Roman"/>
          <w:sz w:val="24"/>
          <w:szCs w:val="24"/>
          <w:lang w:val="es-ES"/>
        </w:rPr>
        <w:t>s</w:t>
      </w:r>
      <w:r w:rsidRPr="00921CA0">
        <w:rPr>
          <w:rFonts w:ascii="Times New Roman" w:hAnsi="Times New Roman" w:cs="Times New Roman"/>
          <w:sz w:val="24"/>
          <w:szCs w:val="24"/>
          <w:lang w:val="es-ES"/>
        </w:rPr>
        <w:t xml:space="preserve">, </w:t>
      </w:r>
      <w:r w:rsidR="00C47185" w:rsidRPr="00921CA0">
        <w:rPr>
          <w:rFonts w:ascii="Times New Roman" w:hAnsi="Times New Roman" w:cs="Times New Roman"/>
          <w:sz w:val="24"/>
          <w:szCs w:val="24"/>
          <w:lang w:val="es-ES"/>
        </w:rPr>
        <w:t xml:space="preserve">por </w:t>
      </w:r>
      <w:r w:rsidRPr="00921CA0">
        <w:rPr>
          <w:rFonts w:ascii="Times New Roman" w:hAnsi="Times New Roman" w:cs="Times New Roman"/>
          <w:sz w:val="24"/>
          <w:szCs w:val="24"/>
          <w:lang w:val="es-ES"/>
        </w:rPr>
        <w:t>lo que no se tiene en cuenta el empobrecimiento de la sociedad que emana de</w:t>
      </w:r>
      <w:r w:rsidR="00604966" w:rsidRPr="00921CA0">
        <w:rPr>
          <w:rFonts w:ascii="Times New Roman" w:hAnsi="Times New Roman" w:cs="Times New Roman"/>
          <w:sz w:val="24"/>
          <w:szCs w:val="24"/>
          <w:lang w:val="es-ES"/>
        </w:rPr>
        <w:t xml:space="preserve">l descenso generalizado </w:t>
      </w:r>
      <w:r w:rsidRPr="00921CA0">
        <w:rPr>
          <w:rFonts w:ascii="Times New Roman" w:hAnsi="Times New Roman" w:cs="Times New Roman"/>
          <w:sz w:val="24"/>
          <w:szCs w:val="24"/>
          <w:lang w:val="es-ES"/>
        </w:rPr>
        <w:t xml:space="preserve"> </w:t>
      </w:r>
      <w:r w:rsidR="00FC4C3B" w:rsidRPr="00921CA0">
        <w:rPr>
          <w:rFonts w:ascii="Times New Roman" w:hAnsi="Times New Roman" w:cs="Times New Roman"/>
          <w:sz w:val="24"/>
          <w:szCs w:val="24"/>
          <w:lang w:val="es-ES"/>
        </w:rPr>
        <w:t>de las rentas disponibles. E</w:t>
      </w:r>
      <w:r w:rsidRPr="00921CA0">
        <w:rPr>
          <w:rFonts w:ascii="Times New Roman" w:hAnsi="Times New Roman" w:cs="Times New Roman"/>
          <w:sz w:val="24"/>
          <w:szCs w:val="24"/>
          <w:lang w:val="es-ES"/>
        </w:rPr>
        <w:t>s decir, una sociedad que presenta el mismo porcentaje de pobreza</w:t>
      </w:r>
      <w:r w:rsidR="00C47185" w:rsidRPr="00921CA0">
        <w:rPr>
          <w:rFonts w:ascii="Times New Roman" w:hAnsi="Times New Roman" w:cs="Times New Roman"/>
          <w:sz w:val="24"/>
          <w:szCs w:val="24"/>
          <w:lang w:val="es-ES"/>
        </w:rPr>
        <w:t xml:space="preserve"> relativa</w:t>
      </w:r>
      <w:r w:rsidRPr="00921CA0">
        <w:rPr>
          <w:rFonts w:ascii="Times New Roman" w:hAnsi="Times New Roman" w:cs="Times New Roman"/>
          <w:sz w:val="24"/>
          <w:szCs w:val="24"/>
          <w:lang w:val="es-ES"/>
        </w:rPr>
        <w:t xml:space="preserve"> en dos años no quiere decir que </w:t>
      </w:r>
      <w:r w:rsidR="00FC4C3B" w:rsidRPr="00921CA0">
        <w:rPr>
          <w:rFonts w:ascii="Times New Roman" w:hAnsi="Times New Roman" w:cs="Times New Roman"/>
          <w:sz w:val="24"/>
          <w:szCs w:val="24"/>
          <w:lang w:val="es-ES"/>
        </w:rPr>
        <w:t xml:space="preserve">la situación no haya empeorado  </w:t>
      </w:r>
      <w:r w:rsidR="00921CA0" w:rsidRPr="00921CA0">
        <w:rPr>
          <w:rFonts w:ascii="Times New Roman" w:hAnsi="Times New Roman" w:cs="Times New Roman"/>
          <w:sz w:val="24"/>
          <w:szCs w:val="24"/>
          <w:lang w:val="es-ES"/>
        </w:rPr>
        <w:t>o</w:t>
      </w:r>
      <w:r w:rsidR="00FC4C3B" w:rsidRPr="00921CA0">
        <w:rPr>
          <w:rFonts w:ascii="Times New Roman" w:hAnsi="Times New Roman" w:cs="Times New Roman"/>
          <w:sz w:val="24"/>
          <w:szCs w:val="24"/>
          <w:lang w:val="es-ES"/>
        </w:rPr>
        <w:t xml:space="preserve"> </w:t>
      </w:r>
      <w:r w:rsidRPr="00921CA0">
        <w:rPr>
          <w:rFonts w:ascii="Times New Roman" w:hAnsi="Times New Roman" w:cs="Times New Roman"/>
          <w:sz w:val="24"/>
          <w:szCs w:val="24"/>
          <w:lang w:val="es-ES"/>
        </w:rPr>
        <w:t>mejorado</w:t>
      </w:r>
      <w:r w:rsidR="00FC4C3B" w:rsidRPr="00921CA0">
        <w:rPr>
          <w:rFonts w:ascii="Times New Roman" w:hAnsi="Times New Roman" w:cs="Times New Roman"/>
          <w:sz w:val="24"/>
          <w:szCs w:val="24"/>
          <w:lang w:val="es-ES"/>
        </w:rPr>
        <w:t xml:space="preserve"> en términos reales</w:t>
      </w:r>
      <w:r w:rsidR="00DE5D17" w:rsidRPr="00921CA0">
        <w:rPr>
          <w:rFonts w:ascii="Times New Roman" w:hAnsi="Times New Roman" w:cs="Times New Roman"/>
          <w:sz w:val="24"/>
          <w:szCs w:val="24"/>
          <w:lang w:val="es-ES"/>
        </w:rPr>
        <w:t>.</w:t>
      </w:r>
      <w:r w:rsidRPr="00921CA0">
        <w:rPr>
          <w:rFonts w:ascii="Times New Roman" w:hAnsi="Times New Roman" w:cs="Times New Roman"/>
          <w:sz w:val="24"/>
          <w:szCs w:val="24"/>
          <w:lang w:val="es-ES"/>
        </w:rPr>
        <w:t xml:space="preserve"> </w:t>
      </w:r>
      <w:r w:rsidR="00DE5D17" w:rsidRPr="00921CA0">
        <w:rPr>
          <w:rFonts w:ascii="Times New Roman" w:hAnsi="Times New Roman" w:cs="Times New Roman"/>
          <w:sz w:val="24"/>
          <w:szCs w:val="24"/>
          <w:lang w:val="es-ES"/>
        </w:rPr>
        <w:t>S</w:t>
      </w:r>
      <w:r w:rsidR="00FC4C3B" w:rsidRPr="00921CA0">
        <w:rPr>
          <w:rFonts w:ascii="Times New Roman" w:hAnsi="Times New Roman" w:cs="Times New Roman"/>
          <w:sz w:val="24"/>
          <w:szCs w:val="24"/>
          <w:lang w:val="es-ES"/>
        </w:rPr>
        <w:t xml:space="preserve">implemente indica </w:t>
      </w:r>
      <w:r w:rsidRPr="00921CA0">
        <w:rPr>
          <w:rFonts w:ascii="Times New Roman" w:hAnsi="Times New Roman" w:cs="Times New Roman"/>
          <w:sz w:val="24"/>
          <w:szCs w:val="24"/>
          <w:lang w:val="es-ES"/>
        </w:rPr>
        <w:t xml:space="preserve">que </w:t>
      </w:r>
      <w:r w:rsidR="00FC4C3B" w:rsidRPr="00921CA0">
        <w:rPr>
          <w:rFonts w:ascii="Times New Roman" w:hAnsi="Times New Roman" w:cs="Times New Roman"/>
          <w:sz w:val="24"/>
          <w:szCs w:val="24"/>
          <w:lang w:val="es-ES"/>
        </w:rPr>
        <w:t xml:space="preserve">el </w:t>
      </w:r>
      <w:r w:rsidRPr="00921CA0">
        <w:rPr>
          <w:rFonts w:ascii="Times New Roman" w:hAnsi="Times New Roman" w:cs="Times New Roman"/>
          <w:sz w:val="24"/>
          <w:szCs w:val="24"/>
          <w:lang w:val="es-ES"/>
        </w:rPr>
        <w:t>porcentaje de personas que se encuentran por debajo de</w:t>
      </w:r>
      <w:r w:rsidR="00FC4C3B" w:rsidRPr="00921CA0">
        <w:rPr>
          <w:rFonts w:ascii="Times New Roman" w:hAnsi="Times New Roman" w:cs="Times New Roman"/>
          <w:sz w:val="24"/>
          <w:szCs w:val="24"/>
          <w:lang w:val="es-ES"/>
        </w:rPr>
        <w:t xml:space="preserve"> </w:t>
      </w:r>
      <w:r w:rsidR="0035190C" w:rsidRPr="00921CA0">
        <w:rPr>
          <w:rFonts w:ascii="Times New Roman" w:hAnsi="Times New Roman" w:cs="Times New Roman"/>
          <w:sz w:val="24"/>
          <w:szCs w:val="24"/>
          <w:lang w:val="es-ES"/>
        </w:rPr>
        <w:t>un determinado nivel de renta</w:t>
      </w:r>
      <w:r w:rsidRPr="00921CA0">
        <w:rPr>
          <w:rFonts w:ascii="Times New Roman" w:hAnsi="Times New Roman" w:cs="Times New Roman"/>
          <w:sz w:val="24"/>
          <w:szCs w:val="24"/>
          <w:lang w:val="es-ES"/>
        </w:rPr>
        <w:t xml:space="preserve"> </w:t>
      </w:r>
      <w:r w:rsidR="00FC4C3B" w:rsidRPr="00921CA0">
        <w:rPr>
          <w:rFonts w:ascii="Times New Roman" w:hAnsi="Times New Roman" w:cs="Times New Roman"/>
          <w:sz w:val="24"/>
          <w:szCs w:val="24"/>
          <w:lang w:val="es-ES"/>
        </w:rPr>
        <w:t xml:space="preserve">(tomado como umbral de pobreza) no varía, </w:t>
      </w:r>
      <w:r w:rsidRPr="00921CA0">
        <w:rPr>
          <w:rFonts w:ascii="Times New Roman" w:hAnsi="Times New Roman" w:cs="Times New Roman"/>
          <w:sz w:val="24"/>
          <w:szCs w:val="24"/>
          <w:lang w:val="es-ES"/>
        </w:rPr>
        <w:t xml:space="preserve">pero no nos </w:t>
      </w:r>
      <w:r w:rsidR="00DE5D17" w:rsidRPr="00921CA0">
        <w:rPr>
          <w:rFonts w:ascii="Times New Roman" w:hAnsi="Times New Roman" w:cs="Times New Roman"/>
          <w:sz w:val="24"/>
          <w:szCs w:val="24"/>
          <w:lang w:val="es-ES"/>
        </w:rPr>
        <w:t>informa de si ha habido variación en el</w:t>
      </w:r>
      <w:r w:rsidRPr="00921CA0">
        <w:rPr>
          <w:rFonts w:ascii="Times New Roman" w:hAnsi="Times New Roman" w:cs="Times New Roman"/>
          <w:sz w:val="24"/>
          <w:szCs w:val="24"/>
          <w:lang w:val="es-ES"/>
        </w:rPr>
        <w:t xml:space="preserve"> nivel </w:t>
      </w:r>
      <w:r w:rsidR="00DE5D17" w:rsidRPr="00921CA0">
        <w:rPr>
          <w:rFonts w:ascii="Times New Roman" w:hAnsi="Times New Roman" w:cs="Times New Roman"/>
          <w:sz w:val="24"/>
          <w:szCs w:val="24"/>
          <w:lang w:val="es-ES"/>
        </w:rPr>
        <w:t xml:space="preserve">medio </w:t>
      </w:r>
      <w:r w:rsidRPr="00921CA0">
        <w:rPr>
          <w:rFonts w:ascii="Times New Roman" w:hAnsi="Times New Roman" w:cs="Times New Roman"/>
          <w:sz w:val="24"/>
          <w:szCs w:val="24"/>
          <w:lang w:val="es-ES"/>
        </w:rPr>
        <w:t>de renta de ese año</w:t>
      </w:r>
      <w:r w:rsidR="00EA023B" w:rsidRPr="00921CA0">
        <w:rPr>
          <w:rFonts w:ascii="Times New Roman" w:hAnsi="Times New Roman" w:cs="Times New Roman"/>
          <w:sz w:val="24"/>
          <w:szCs w:val="24"/>
          <w:lang w:val="es-ES"/>
        </w:rPr>
        <w:t xml:space="preserve"> en comparación con </w:t>
      </w:r>
      <w:r w:rsidR="0035190C" w:rsidRPr="00921CA0">
        <w:rPr>
          <w:rFonts w:ascii="Times New Roman" w:hAnsi="Times New Roman" w:cs="Times New Roman"/>
          <w:sz w:val="24"/>
          <w:szCs w:val="24"/>
          <w:lang w:val="es-ES"/>
        </w:rPr>
        <w:t>los</w:t>
      </w:r>
      <w:r w:rsidR="00EA023B" w:rsidRPr="00921CA0">
        <w:rPr>
          <w:rFonts w:ascii="Times New Roman" w:hAnsi="Times New Roman" w:cs="Times New Roman"/>
          <w:sz w:val="24"/>
          <w:szCs w:val="24"/>
          <w:lang w:val="es-ES"/>
        </w:rPr>
        <w:t xml:space="preserve"> años anteriores</w:t>
      </w:r>
      <w:r w:rsidR="00DE5D17" w:rsidRPr="00921CA0">
        <w:rPr>
          <w:rFonts w:ascii="Times New Roman" w:hAnsi="Times New Roman" w:cs="Times New Roman"/>
          <w:sz w:val="24"/>
          <w:szCs w:val="24"/>
          <w:lang w:val="es-ES"/>
        </w:rPr>
        <w:t xml:space="preserve"> ni </w:t>
      </w:r>
      <w:r w:rsidR="0035190C" w:rsidRPr="00921CA0">
        <w:rPr>
          <w:rFonts w:ascii="Times New Roman" w:hAnsi="Times New Roman" w:cs="Times New Roman"/>
          <w:sz w:val="24"/>
          <w:szCs w:val="24"/>
          <w:lang w:val="es-ES"/>
        </w:rPr>
        <w:t>para el conjunto de la población ni para la población pobre</w:t>
      </w:r>
      <w:r w:rsidR="00DE5D17" w:rsidRPr="00921CA0">
        <w:rPr>
          <w:rFonts w:ascii="Times New Roman" w:hAnsi="Times New Roman" w:cs="Times New Roman"/>
          <w:sz w:val="24"/>
          <w:szCs w:val="24"/>
          <w:lang w:val="es-ES"/>
        </w:rPr>
        <w:t xml:space="preserve">. Incluso podría </w:t>
      </w:r>
      <w:r w:rsidRPr="00921CA0">
        <w:rPr>
          <w:rFonts w:ascii="Times New Roman" w:hAnsi="Times New Roman" w:cs="Times New Roman"/>
          <w:sz w:val="24"/>
          <w:szCs w:val="24"/>
          <w:lang w:val="es-ES"/>
        </w:rPr>
        <w:t xml:space="preserve">darse el caso de que la </w:t>
      </w:r>
      <w:r w:rsidR="00DE5D17" w:rsidRPr="00921CA0">
        <w:rPr>
          <w:rFonts w:ascii="Times New Roman" w:hAnsi="Times New Roman" w:cs="Times New Roman"/>
          <w:sz w:val="24"/>
          <w:szCs w:val="24"/>
          <w:lang w:val="es-ES"/>
        </w:rPr>
        <w:t xml:space="preserve">tasa de </w:t>
      </w:r>
      <w:r w:rsidRPr="00921CA0">
        <w:rPr>
          <w:rFonts w:ascii="Times New Roman" w:hAnsi="Times New Roman" w:cs="Times New Roman"/>
          <w:sz w:val="24"/>
          <w:szCs w:val="24"/>
          <w:lang w:val="es-ES"/>
        </w:rPr>
        <w:t>pobreza descienda</w:t>
      </w:r>
      <w:r w:rsidR="0035190C" w:rsidRPr="00921CA0">
        <w:rPr>
          <w:rFonts w:ascii="Times New Roman" w:hAnsi="Times New Roman" w:cs="Times New Roman"/>
          <w:sz w:val="24"/>
          <w:szCs w:val="24"/>
          <w:lang w:val="es-ES"/>
        </w:rPr>
        <w:t xml:space="preserve"> ante un empobrecimiento general de la población</w:t>
      </w:r>
      <w:r w:rsidR="00DE5D17" w:rsidRPr="00921CA0">
        <w:rPr>
          <w:rFonts w:ascii="Times New Roman" w:hAnsi="Times New Roman" w:cs="Times New Roman"/>
          <w:sz w:val="24"/>
          <w:szCs w:val="24"/>
          <w:lang w:val="es-ES"/>
        </w:rPr>
        <w:t xml:space="preserve">, como sería fácil que ocurriese </w:t>
      </w:r>
      <w:r w:rsidR="0035190C" w:rsidRPr="00921CA0">
        <w:rPr>
          <w:rFonts w:ascii="Times New Roman" w:hAnsi="Times New Roman" w:cs="Times New Roman"/>
          <w:sz w:val="24"/>
          <w:szCs w:val="24"/>
          <w:lang w:val="es-ES"/>
        </w:rPr>
        <w:t xml:space="preserve">manejando líneas de pobreza relativas  ante un descenso generalizado de la renta </w:t>
      </w:r>
      <w:r w:rsidR="00DE5D17" w:rsidRPr="00921CA0">
        <w:rPr>
          <w:rFonts w:ascii="Times New Roman" w:hAnsi="Times New Roman" w:cs="Times New Roman"/>
          <w:sz w:val="24"/>
          <w:szCs w:val="24"/>
          <w:lang w:val="es-ES"/>
        </w:rPr>
        <w:t>acompañado de una distribución más igualitaria</w:t>
      </w:r>
      <w:r w:rsidR="0035190C" w:rsidRPr="00921CA0">
        <w:rPr>
          <w:rFonts w:ascii="Times New Roman" w:hAnsi="Times New Roman" w:cs="Times New Roman"/>
          <w:sz w:val="24"/>
          <w:szCs w:val="24"/>
          <w:lang w:val="es-ES"/>
        </w:rPr>
        <w:t>.</w:t>
      </w:r>
    </w:p>
    <w:p w:rsidR="00FC4C3B" w:rsidRPr="00921CA0" w:rsidRDefault="00C47185" w:rsidP="00FC4C3B">
      <w:pPr>
        <w:spacing w:before="120" w:after="120" w:line="360" w:lineRule="auto"/>
        <w:jc w:val="both"/>
        <w:rPr>
          <w:rFonts w:ascii="Times New Roman" w:hAnsi="Times New Roman" w:cs="Times New Roman"/>
          <w:sz w:val="24"/>
          <w:szCs w:val="24"/>
          <w:lang w:val="es-ES"/>
        </w:rPr>
      </w:pPr>
      <w:r w:rsidRPr="00921CA0">
        <w:rPr>
          <w:rFonts w:ascii="Times New Roman" w:hAnsi="Times New Roman" w:cs="Times New Roman"/>
          <w:sz w:val="24"/>
          <w:szCs w:val="24"/>
          <w:lang w:val="es-ES"/>
        </w:rPr>
        <w:t>Ante el</w:t>
      </w:r>
      <w:r w:rsidR="00FC4C3B" w:rsidRPr="00921CA0">
        <w:rPr>
          <w:rFonts w:ascii="Times New Roman" w:hAnsi="Times New Roman" w:cs="Times New Roman"/>
          <w:sz w:val="24"/>
          <w:szCs w:val="24"/>
          <w:lang w:val="es-ES"/>
        </w:rPr>
        <w:t xml:space="preserve"> marco económic</w:t>
      </w:r>
      <w:r w:rsidRPr="00921CA0">
        <w:rPr>
          <w:rFonts w:ascii="Times New Roman" w:hAnsi="Times New Roman" w:cs="Times New Roman"/>
          <w:sz w:val="24"/>
          <w:szCs w:val="24"/>
          <w:lang w:val="es-ES"/>
        </w:rPr>
        <w:t>o</w:t>
      </w:r>
      <w:r w:rsidR="002A1746" w:rsidRPr="00921CA0">
        <w:rPr>
          <w:rFonts w:ascii="Times New Roman" w:hAnsi="Times New Roman" w:cs="Times New Roman"/>
          <w:sz w:val="24"/>
          <w:szCs w:val="24"/>
          <w:lang w:val="es-ES"/>
        </w:rPr>
        <w:t xml:space="preserve"> actual </w:t>
      </w:r>
      <w:r w:rsidR="00FC4C3B" w:rsidRPr="00921CA0">
        <w:rPr>
          <w:rFonts w:ascii="Times New Roman" w:hAnsi="Times New Roman" w:cs="Times New Roman"/>
          <w:sz w:val="24"/>
          <w:szCs w:val="24"/>
          <w:lang w:val="es-ES"/>
        </w:rPr>
        <w:t>de caída de rentas e incremento de la desigualdad</w:t>
      </w:r>
      <w:r w:rsidR="002A1746" w:rsidRPr="00921CA0">
        <w:rPr>
          <w:rFonts w:ascii="Times New Roman" w:hAnsi="Times New Roman" w:cs="Times New Roman"/>
          <w:sz w:val="24"/>
          <w:szCs w:val="24"/>
          <w:lang w:val="es-ES"/>
        </w:rPr>
        <w:t xml:space="preserve">, la tasa de riesgo de pobreza </w:t>
      </w:r>
      <w:r w:rsidR="00FC4C3B" w:rsidRPr="00921CA0">
        <w:rPr>
          <w:rFonts w:ascii="Times New Roman" w:hAnsi="Times New Roman" w:cs="Times New Roman"/>
          <w:sz w:val="24"/>
          <w:szCs w:val="24"/>
          <w:lang w:val="es-ES"/>
        </w:rPr>
        <w:t>podría no mostrar la crudeza real del empobrecimiento que la sociedad española está padecie</w:t>
      </w:r>
      <w:r w:rsidR="002A1746" w:rsidRPr="00921CA0">
        <w:rPr>
          <w:rFonts w:ascii="Times New Roman" w:hAnsi="Times New Roman" w:cs="Times New Roman"/>
          <w:sz w:val="24"/>
          <w:szCs w:val="24"/>
          <w:lang w:val="es-ES"/>
        </w:rPr>
        <w:t>ndo. Teniendo en cuenta que el índice de precios de consumo</w:t>
      </w:r>
      <w:r w:rsidR="00FC4C3B" w:rsidRPr="00921CA0">
        <w:rPr>
          <w:rFonts w:ascii="Times New Roman" w:hAnsi="Times New Roman" w:cs="Times New Roman"/>
          <w:sz w:val="24"/>
          <w:szCs w:val="24"/>
          <w:lang w:val="es-ES"/>
        </w:rPr>
        <w:t xml:space="preserve"> (IPC-INE) ha aumentado, la caída de la renta real es todavía más fuerte que la experimentada en términos monetarios. Si  a esto sumamos el hecho de que las líneas de pobreza que se suelen aplicar son estrictamente relativas, en un marco de decrecimiento económico como el vivido en estos años de crisis, la situación real de la población puede ser bastante peor de lo que nos muestran las cifras de pobreza oficiales</w:t>
      </w:r>
      <w:r w:rsidR="00FC4C3B" w:rsidRPr="00921CA0">
        <w:rPr>
          <w:rFonts w:ascii="Times New Roman" w:hAnsi="Times New Roman" w:cs="Times New Roman"/>
          <w:color w:val="FF0000"/>
          <w:sz w:val="24"/>
          <w:szCs w:val="24"/>
          <w:lang w:val="es-ES"/>
        </w:rPr>
        <w:t xml:space="preserve">.   </w:t>
      </w:r>
    </w:p>
    <w:p w:rsidR="002458B9" w:rsidRDefault="004D3805" w:rsidP="00AD37B1">
      <w:pPr>
        <w:spacing w:before="120" w:after="120" w:line="360" w:lineRule="auto"/>
        <w:jc w:val="both"/>
        <w:rPr>
          <w:rFonts w:ascii="Times New Roman" w:hAnsi="Times New Roman" w:cs="Times New Roman"/>
          <w:color w:val="FF0000"/>
          <w:sz w:val="24"/>
          <w:szCs w:val="24"/>
          <w:lang w:val="es-ES"/>
        </w:rPr>
      </w:pPr>
      <w:r w:rsidRPr="00921CA0">
        <w:rPr>
          <w:rFonts w:ascii="Times New Roman" w:hAnsi="Times New Roman" w:cs="Times New Roman"/>
          <w:sz w:val="24"/>
          <w:szCs w:val="24"/>
          <w:lang w:val="es-ES"/>
        </w:rPr>
        <w:lastRenderedPageBreak/>
        <w:t xml:space="preserve">Para paliar este efecto, nuestra propuesta es fijar el umbral de pobreza en el </w:t>
      </w:r>
      <w:r w:rsidR="002458B9" w:rsidRPr="00921CA0">
        <w:rPr>
          <w:rFonts w:ascii="Times New Roman" w:hAnsi="Times New Roman" w:cs="Times New Roman"/>
          <w:sz w:val="24"/>
          <w:szCs w:val="24"/>
          <w:lang w:val="es-ES"/>
        </w:rPr>
        <w:t>año</w:t>
      </w:r>
      <w:r w:rsidR="00E72AC0" w:rsidRPr="00921CA0">
        <w:rPr>
          <w:rFonts w:ascii="Times New Roman" w:hAnsi="Times New Roman" w:cs="Times New Roman"/>
          <w:sz w:val="24"/>
          <w:szCs w:val="24"/>
          <w:lang w:val="es-ES"/>
        </w:rPr>
        <w:t xml:space="preserve"> 2008 (</w:t>
      </w:r>
      <w:r w:rsidRPr="00921CA0">
        <w:rPr>
          <w:rFonts w:ascii="Times New Roman" w:hAnsi="Times New Roman" w:cs="Times New Roman"/>
          <w:sz w:val="24"/>
          <w:szCs w:val="24"/>
          <w:lang w:val="es-ES"/>
        </w:rPr>
        <w:t xml:space="preserve">ingresos de 2007) </w:t>
      </w:r>
      <w:r w:rsidR="00E72AC0" w:rsidRPr="00921CA0">
        <w:rPr>
          <w:rFonts w:ascii="Times New Roman" w:hAnsi="Times New Roman" w:cs="Times New Roman"/>
          <w:sz w:val="24"/>
          <w:szCs w:val="24"/>
          <w:lang w:val="es-ES"/>
        </w:rPr>
        <w:t xml:space="preserve">con el objeto de </w:t>
      </w:r>
      <w:r w:rsidRPr="00921CA0">
        <w:rPr>
          <w:rFonts w:ascii="Times New Roman" w:hAnsi="Times New Roman" w:cs="Times New Roman"/>
          <w:sz w:val="24"/>
          <w:szCs w:val="24"/>
          <w:lang w:val="es-ES"/>
        </w:rPr>
        <w:t xml:space="preserve">comparar la evolución de la pobreza en el período de crisis respecto a </w:t>
      </w:r>
      <w:r w:rsidR="00E72AC0" w:rsidRPr="00921CA0">
        <w:rPr>
          <w:rFonts w:ascii="Times New Roman" w:hAnsi="Times New Roman" w:cs="Times New Roman"/>
          <w:sz w:val="24"/>
          <w:szCs w:val="24"/>
          <w:lang w:val="es-ES"/>
        </w:rPr>
        <w:t>la situación económica de los hogares previa a la misma</w:t>
      </w:r>
      <w:r w:rsidR="00A92FCE" w:rsidRPr="00921CA0">
        <w:rPr>
          <w:rFonts w:ascii="Times New Roman" w:hAnsi="Times New Roman" w:cs="Times New Roman"/>
          <w:color w:val="FF0000"/>
          <w:sz w:val="24"/>
          <w:szCs w:val="24"/>
          <w:lang w:val="es-ES"/>
        </w:rPr>
        <w:t>.</w:t>
      </w:r>
    </w:p>
    <w:p w:rsidR="006B2C41" w:rsidRPr="00921CA0" w:rsidRDefault="006B2C41" w:rsidP="00AD37B1">
      <w:pPr>
        <w:spacing w:before="120" w:after="120" w:line="360" w:lineRule="auto"/>
        <w:jc w:val="both"/>
        <w:rPr>
          <w:rFonts w:ascii="Times New Roman" w:hAnsi="Times New Roman" w:cs="Times New Roman"/>
          <w:sz w:val="24"/>
          <w:szCs w:val="24"/>
          <w:lang w:val="es-ES"/>
        </w:rPr>
      </w:pPr>
      <w:r w:rsidRPr="00921CA0">
        <w:rPr>
          <w:rFonts w:ascii="Times New Roman" w:hAnsi="Times New Roman" w:cs="Times New Roman"/>
          <w:sz w:val="24"/>
          <w:szCs w:val="24"/>
          <w:lang w:val="es-ES"/>
        </w:rPr>
        <w:t>El trabajo se ha dividido en tres partes además de esta introducción. En una primera parte se expone la</w:t>
      </w:r>
      <w:r w:rsidR="00E72AC0" w:rsidRPr="00921CA0">
        <w:rPr>
          <w:rFonts w:ascii="Times New Roman" w:hAnsi="Times New Roman" w:cs="Times New Roman"/>
          <w:sz w:val="24"/>
          <w:szCs w:val="24"/>
          <w:lang w:val="es-ES"/>
        </w:rPr>
        <w:t xml:space="preserve"> fuente de </w:t>
      </w:r>
      <w:proofErr w:type="spellStart"/>
      <w:r w:rsidR="00E72AC0" w:rsidRPr="00921CA0">
        <w:rPr>
          <w:rFonts w:ascii="Times New Roman" w:hAnsi="Times New Roman" w:cs="Times New Roman"/>
          <w:sz w:val="24"/>
          <w:szCs w:val="24"/>
          <w:lang w:val="es-ES"/>
        </w:rPr>
        <w:t>microdatos</w:t>
      </w:r>
      <w:proofErr w:type="spellEnd"/>
      <w:r w:rsidRPr="00921CA0">
        <w:rPr>
          <w:rFonts w:ascii="Times New Roman" w:hAnsi="Times New Roman" w:cs="Times New Roman"/>
          <w:sz w:val="24"/>
          <w:szCs w:val="24"/>
          <w:lang w:val="es-ES"/>
        </w:rPr>
        <w:t xml:space="preserve"> </w:t>
      </w:r>
      <w:r w:rsidR="00E72AC0" w:rsidRPr="00921CA0">
        <w:rPr>
          <w:rFonts w:ascii="Times New Roman" w:hAnsi="Times New Roman" w:cs="Times New Roman"/>
          <w:sz w:val="24"/>
          <w:szCs w:val="24"/>
          <w:lang w:val="es-ES"/>
        </w:rPr>
        <w:t xml:space="preserve">a utilizar así como la metodología empleada (líneas de pobreza, </w:t>
      </w:r>
      <w:r w:rsidR="00A73362" w:rsidRPr="00921CA0">
        <w:rPr>
          <w:rFonts w:ascii="Times New Roman" w:hAnsi="Times New Roman" w:cs="Times New Roman"/>
          <w:sz w:val="24"/>
          <w:szCs w:val="24"/>
          <w:lang w:val="es-ES"/>
        </w:rPr>
        <w:t>variables,</w:t>
      </w:r>
      <w:r w:rsidR="00E72AC0" w:rsidRPr="00921CA0">
        <w:rPr>
          <w:rFonts w:ascii="Times New Roman" w:hAnsi="Times New Roman" w:cs="Times New Roman"/>
          <w:sz w:val="24"/>
          <w:szCs w:val="24"/>
          <w:lang w:val="es-ES"/>
        </w:rPr>
        <w:t xml:space="preserve">…), </w:t>
      </w:r>
      <w:r w:rsidR="004F6002" w:rsidRPr="00921CA0">
        <w:rPr>
          <w:rFonts w:ascii="Times New Roman" w:hAnsi="Times New Roman" w:cs="Times New Roman"/>
          <w:sz w:val="24"/>
          <w:szCs w:val="24"/>
          <w:lang w:val="es-ES"/>
        </w:rPr>
        <w:t>proponiendo el debate sobre la necesidad de utilizar líneas de pobreza sensibles al empeoramiento generalizado de la población, así como variables de renta que reflejen el poder adquisitivo real (rentas deflactadas y en paridades)</w:t>
      </w:r>
      <w:r w:rsidRPr="00921CA0">
        <w:rPr>
          <w:rFonts w:ascii="Times New Roman" w:hAnsi="Times New Roman" w:cs="Times New Roman"/>
          <w:sz w:val="24"/>
          <w:szCs w:val="24"/>
          <w:lang w:val="es-ES"/>
        </w:rPr>
        <w:t xml:space="preserve">. La segunda parte </w:t>
      </w:r>
      <w:r w:rsidR="00D315BE" w:rsidRPr="00921CA0">
        <w:rPr>
          <w:rFonts w:ascii="Times New Roman" w:hAnsi="Times New Roman" w:cs="Times New Roman"/>
          <w:sz w:val="24"/>
          <w:szCs w:val="24"/>
          <w:lang w:val="es-ES"/>
        </w:rPr>
        <w:t xml:space="preserve">se centra </w:t>
      </w:r>
      <w:r w:rsidR="00D53FDC" w:rsidRPr="00921CA0">
        <w:rPr>
          <w:rFonts w:ascii="Times New Roman" w:hAnsi="Times New Roman" w:cs="Times New Roman"/>
          <w:sz w:val="24"/>
          <w:szCs w:val="24"/>
          <w:lang w:val="es-ES"/>
        </w:rPr>
        <w:t xml:space="preserve">en </w:t>
      </w:r>
      <w:r w:rsidRPr="00921CA0">
        <w:rPr>
          <w:rFonts w:ascii="Times New Roman" w:hAnsi="Times New Roman" w:cs="Times New Roman"/>
          <w:sz w:val="24"/>
          <w:szCs w:val="24"/>
          <w:lang w:val="es-ES"/>
        </w:rPr>
        <w:t>el análisis empíri</w:t>
      </w:r>
      <w:r w:rsidR="00D315BE" w:rsidRPr="00921CA0">
        <w:rPr>
          <w:rFonts w:ascii="Times New Roman" w:hAnsi="Times New Roman" w:cs="Times New Roman"/>
          <w:sz w:val="24"/>
          <w:szCs w:val="24"/>
          <w:lang w:val="es-ES"/>
        </w:rPr>
        <w:t xml:space="preserve">co de </w:t>
      </w:r>
      <w:r w:rsidRPr="00921CA0">
        <w:rPr>
          <w:rFonts w:ascii="Times New Roman" w:hAnsi="Times New Roman" w:cs="Times New Roman"/>
          <w:sz w:val="24"/>
          <w:szCs w:val="24"/>
          <w:lang w:val="es-ES"/>
        </w:rPr>
        <w:t xml:space="preserve">la pobreza </w:t>
      </w:r>
      <w:r w:rsidR="00D315BE" w:rsidRPr="00921CA0">
        <w:rPr>
          <w:rFonts w:ascii="Times New Roman" w:hAnsi="Times New Roman" w:cs="Times New Roman"/>
          <w:sz w:val="24"/>
          <w:szCs w:val="24"/>
          <w:lang w:val="es-ES"/>
        </w:rPr>
        <w:t xml:space="preserve">(medida a través de la tasa de riesgo) </w:t>
      </w:r>
      <w:r w:rsidR="00D53FDC" w:rsidRPr="00921CA0">
        <w:rPr>
          <w:rFonts w:ascii="Times New Roman" w:hAnsi="Times New Roman" w:cs="Times New Roman"/>
          <w:sz w:val="24"/>
          <w:szCs w:val="24"/>
          <w:lang w:val="es-ES"/>
        </w:rPr>
        <w:t xml:space="preserve">considerando diferentes </w:t>
      </w:r>
      <w:r w:rsidRPr="00921CA0">
        <w:rPr>
          <w:rFonts w:ascii="Times New Roman" w:hAnsi="Times New Roman" w:cs="Times New Roman"/>
          <w:sz w:val="24"/>
          <w:szCs w:val="24"/>
          <w:lang w:val="es-ES"/>
        </w:rPr>
        <w:t>umbra</w:t>
      </w:r>
      <w:r w:rsidR="00EA023B" w:rsidRPr="00921CA0">
        <w:rPr>
          <w:rFonts w:ascii="Times New Roman" w:hAnsi="Times New Roman" w:cs="Times New Roman"/>
          <w:sz w:val="24"/>
          <w:szCs w:val="24"/>
          <w:lang w:val="es-ES"/>
        </w:rPr>
        <w:t>l</w:t>
      </w:r>
      <w:r w:rsidR="00D53FDC" w:rsidRPr="00921CA0">
        <w:rPr>
          <w:rFonts w:ascii="Times New Roman" w:hAnsi="Times New Roman" w:cs="Times New Roman"/>
          <w:sz w:val="24"/>
          <w:szCs w:val="24"/>
          <w:lang w:val="es-ES"/>
        </w:rPr>
        <w:t xml:space="preserve">es y tratando de </w:t>
      </w:r>
      <w:r w:rsidR="00B31ED2" w:rsidRPr="00921CA0">
        <w:rPr>
          <w:rFonts w:ascii="Times New Roman" w:hAnsi="Times New Roman" w:cs="Times New Roman"/>
          <w:sz w:val="24"/>
          <w:szCs w:val="24"/>
          <w:lang w:val="es-ES"/>
        </w:rPr>
        <w:t xml:space="preserve">ver </w:t>
      </w:r>
      <w:r w:rsidR="00D53FDC" w:rsidRPr="00921CA0">
        <w:rPr>
          <w:rFonts w:ascii="Times New Roman" w:hAnsi="Times New Roman" w:cs="Times New Roman"/>
          <w:sz w:val="24"/>
          <w:szCs w:val="24"/>
          <w:lang w:val="es-ES"/>
        </w:rPr>
        <w:t>cómo evoluciona el porcentaje de pobres en España y sus regiones</w:t>
      </w:r>
      <w:r w:rsidR="00387375" w:rsidRPr="00921CA0">
        <w:rPr>
          <w:rFonts w:ascii="Times New Roman" w:hAnsi="Times New Roman" w:cs="Times New Roman"/>
          <w:sz w:val="24"/>
          <w:szCs w:val="24"/>
          <w:lang w:val="es-ES"/>
        </w:rPr>
        <w:t xml:space="preserve">, </w:t>
      </w:r>
      <w:r w:rsidR="00B31ED2" w:rsidRPr="00921CA0">
        <w:rPr>
          <w:rFonts w:ascii="Times New Roman" w:hAnsi="Times New Roman" w:cs="Times New Roman"/>
          <w:sz w:val="24"/>
          <w:szCs w:val="24"/>
          <w:lang w:val="es-ES"/>
        </w:rPr>
        <w:t>así como la sensibilidad de los resultados respecto a la definición de línea de pobreza utilizada. P</w:t>
      </w:r>
      <w:r w:rsidRPr="00921CA0">
        <w:rPr>
          <w:rFonts w:ascii="Times New Roman" w:hAnsi="Times New Roman" w:cs="Times New Roman"/>
          <w:sz w:val="24"/>
          <w:szCs w:val="24"/>
          <w:lang w:val="es-ES"/>
        </w:rPr>
        <w:t>or último</w:t>
      </w:r>
      <w:r w:rsidR="00EA023B" w:rsidRPr="00921CA0">
        <w:rPr>
          <w:rFonts w:ascii="Times New Roman" w:hAnsi="Times New Roman" w:cs="Times New Roman"/>
          <w:sz w:val="24"/>
          <w:szCs w:val="24"/>
          <w:lang w:val="es-ES"/>
        </w:rPr>
        <w:t>,</w:t>
      </w:r>
      <w:r w:rsidRPr="00921CA0">
        <w:rPr>
          <w:rFonts w:ascii="Times New Roman" w:hAnsi="Times New Roman" w:cs="Times New Roman"/>
          <w:sz w:val="24"/>
          <w:szCs w:val="24"/>
          <w:lang w:val="es-ES"/>
        </w:rPr>
        <w:t xml:space="preserve"> se extraen las principales conclusiones.</w:t>
      </w:r>
    </w:p>
    <w:p w:rsidR="0054458C" w:rsidRPr="002A1746" w:rsidRDefault="00B638B7" w:rsidP="00AD37B1">
      <w:pPr>
        <w:pStyle w:val="Prrafodelista"/>
        <w:numPr>
          <w:ilvl w:val="0"/>
          <w:numId w:val="1"/>
        </w:numPr>
        <w:spacing w:before="120" w:after="120" w:line="360" w:lineRule="auto"/>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t>METODOLOGÍA</w:t>
      </w:r>
    </w:p>
    <w:p w:rsidR="00FB467E" w:rsidRPr="002458B9" w:rsidRDefault="00591C79" w:rsidP="002458B9">
      <w:pPr>
        <w:spacing w:before="120" w:after="120" w:line="360" w:lineRule="auto"/>
        <w:jc w:val="both"/>
        <w:rPr>
          <w:rFonts w:ascii="Times New Roman" w:hAnsi="Times New Roman" w:cs="Times New Roman"/>
          <w:sz w:val="24"/>
          <w:szCs w:val="24"/>
          <w:lang w:val="es-ES"/>
        </w:rPr>
      </w:pPr>
      <w:r w:rsidRPr="002458B9">
        <w:rPr>
          <w:rFonts w:ascii="Times New Roman" w:hAnsi="Times New Roman" w:cs="Times New Roman"/>
          <w:sz w:val="24"/>
          <w:szCs w:val="24"/>
          <w:lang w:val="es-ES"/>
        </w:rPr>
        <w:t xml:space="preserve">Uno de los más viejos debates sobre pobreza es el que concierne </w:t>
      </w:r>
      <w:r w:rsidR="005B3167" w:rsidRPr="002458B9">
        <w:rPr>
          <w:rFonts w:ascii="Times New Roman" w:hAnsi="Times New Roman" w:cs="Times New Roman"/>
          <w:sz w:val="24"/>
          <w:szCs w:val="24"/>
          <w:lang w:val="es-ES"/>
        </w:rPr>
        <w:t xml:space="preserve">a </w:t>
      </w:r>
      <w:r w:rsidR="00A73A2C" w:rsidRPr="002458B9">
        <w:rPr>
          <w:rFonts w:ascii="Times New Roman" w:hAnsi="Times New Roman" w:cs="Times New Roman"/>
          <w:sz w:val="24"/>
          <w:szCs w:val="24"/>
          <w:lang w:val="es-ES"/>
        </w:rPr>
        <w:t>si es “absoluta” o “relativa</w:t>
      </w:r>
      <w:r w:rsidR="005B3167" w:rsidRPr="002458B9">
        <w:rPr>
          <w:rFonts w:ascii="Times New Roman" w:hAnsi="Times New Roman" w:cs="Times New Roman"/>
          <w:sz w:val="24"/>
          <w:szCs w:val="24"/>
          <w:lang w:val="es-ES"/>
        </w:rPr>
        <w:t>”</w:t>
      </w:r>
      <w:r w:rsidR="00A73A2C" w:rsidRPr="002458B9">
        <w:rPr>
          <w:rFonts w:ascii="Times New Roman" w:hAnsi="Times New Roman" w:cs="Times New Roman"/>
          <w:sz w:val="24"/>
          <w:szCs w:val="24"/>
          <w:lang w:val="es-ES"/>
        </w:rPr>
        <w:t>. Por igual razón, y c</w:t>
      </w:r>
      <w:r w:rsidR="005B3167" w:rsidRPr="002458B9">
        <w:rPr>
          <w:rFonts w:ascii="Times New Roman" w:hAnsi="Times New Roman" w:cs="Times New Roman"/>
          <w:sz w:val="24"/>
          <w:szCs w:val="24"/>
          <w:lang w:val="es-ES"/>
        </w:rPr>
        <w:t xml:space="preserve">omo instrumento para hacer operativa su medición, se presenta otro de los </w:t>
      </w:r>
      <w:r w:rsidR="00800D26" w:rsidRPr="002458B9">
        <w:rPr>
          <w:rFonts w:ascii="Times New Roman" w:hAnsi="Times New Roman" w:cs="Times New Roman"/>
          <w:sz w:val="24"/>
          <w:szCs w:val="24"/>
          <w:lang w:val="es-ES"/>
        </w:rPr>
        <w:t>problemas</w:t>
      </w:r>
      <w:r w:rsidR="005B3167" w:rsidRPr="002458B9">
        <w:rPr>
          <w:rFonts w:ascii="Times New Roman" w:hAnsi="Times New Roman" w:cs="Times New Roman"/>
          <w:sz w:val="24"/>
          <w:szCs w:val="24"/>
          <w:lang w:val="es-ES"/>
        </w:rPr>
        <w:t xml:space="preserve"> básicos a resolver: la línea o umbral de pobreza. </w:t>
      </w:r>
      <w:r w:rsidR="000D77D9" w:rsidRPr="002458B9">
        <w:rPr>
          <w:rFonts w:ascii="Times New Roman" w:hAnsi="Times New Roman" w:cs="Times New Roman"/>
          <w:sz w:val="24"/>
          <w:szCs w:val="24"/>
          <w:lang w:val="es-ES"/>
        </w:rPr>
        <w:t xml:space="preserve">Según </w:t>
      </w:r>
      <w:proofErr w:type="spellStart"/>
      <w:r w:rsidR="000D77D9" w:rsidRPr="002458B9">
        <w:rPr>
          <w:rFonts w:ascii="Times New Roman" w:hAnsi="Times New Roman" w:cs="Times New Roman"/>
          <w:sz w:val="24"/>
          <w:szCs w:val="24"/>
          <w:lang w:val="es-ES"/>
        </w:rPr>
        <w:t>Ravallion</w:t>
      </w:r>
      <w:proofErr w:type="spellEnd"/>
      <w:r w:rsidR="000D77D9" w:rsidRPr="002458B9">
        <w:rPr>
          <w:rFonts w:ascii="Times New Roman" w:hAnsi="Times New Roman" w:cs="Times New Roman"/>
          <w:sz w:val="24"/>
          <w:szCs w:val="24"/>
          <w:lang w:val="es-ES"/>
        </w:rPr>
        <w:t xml:space="preserve"> (2010), u</w:t>
      </w:r>
      <w:r w:rsidR="005B3167" w:rsidRPr="002458B9">
        <w:rPr>
          <w:rFonts w:ascii="Times New Roman" w:hAnsi="Times New Roman" w:cs="Times New Roman"/>
          <w:sz w:val="24"/>
          <w:szCs w:val="24"/>
          <w:lang w:val="es-ES"/>
        </w:rPr>
        <w:t xml:space="preserve">na línea de pobreza puede ser definida </w:t>
      </w:r>
      <w:r w:rsidR="00434212" w:rsidRPr="002458B9">
        <w:rPr>
          <w:rFonts w:ascii="Times New Roman" w:hAnsi="Times New Roman" w:cs="Times New Roman"/>
          <w:sz w:val="24"/>
          <w:szCs w:val="24"/>
          <w:lang w:val="es-ES"/>
        </w:rPr>
        <w:t xml:space="preserve">como el </w:t>
      </w:r>
      <w:r w:rsidR="000D77D9" w:rsidRPr="002458B9">
        <w:rPr>
          <w:rFonts w:ascii="Times New Roman" w:hAnsi="Times New Roman" w:cs="Times New Roman"/>
          <w:sz w:val="24"/>
          <w:szCs w:val="24"/>
          <w:lang w:val="es-ES"/>
        </w:rPr>
        <w:t xml:space="preserve">dinero que un individuo necesita para </w:t>
      </w:r>
      <w:r w:rsidR="00434212" w:rsidRPr="002458B9">
        <w:rPr>
          <w:rFonts w:ascii="Times New Roman" w:hAnsi="Times New Roman" w:cs="Times New Roman"/>
          <w:sz w:val="24"/>
          <w:szCs w:val="24"/>
          <w:lang w:val="es-ES"/>
        </w:rPr>
        <w:t>alcanzar un nivel mínimo de bienestar que le permita no ser juzgado como pobre.</w:t>
      </w:r>
      <w:r w:rsidR="005B3167" w:rsidRPr="002458B9">
        <w:rPr>
          <w:rFonts w:ascii="Times New Roman" w:hAnsi="Times New Roman" w:cs="Times New Roman"/>
          <w:sz w:val="24"/>
          <w:szCs w:val="24"/>
          <w:lang w:val="es-ES"/>
        </w:rPr>
        <w:t xml:space="preserve"> </w:t>
      </w:r>
      <w:r w:rsidR="00AF740E" w:rsidRPr="002458B9">
        <w:rPr>
          <w:rFonts w:ascii="Times New Roman" w:hAnsi="Times New Roman" w:cs="Times New Roman"/>
          <w:sz w:val="24"/>
          <w:szCs w:val="24"/>
          <w:lang w:val="es-ES"/>
        </w:rPr>
        <w:t>Desde la teoría económica se podrían interpretar las líneas de pobreza como índices del coste de la vida</w:t>
      </w:r>
      <w:r w:rsidR="002D2EB3" w:rsidRPr="002458B9">
        <w:rPr>
          <w:rFonts w:ascii="Times New Roman" w:hAnsi="Times New Roman" w:cs="Times New Roman"/>
          <w:sz w:val="24"/>
          <w:szCs w:val="24"/>
          <w:lang w:val="es-ES"/>
        </w:rPr>
        <w:t xml:space="preserve">, bien </w:t>
      </w:r>
      <w:r w:rsidR="004A1F46" w:rsidRPr="002458B9">
        <w:rPr>
          <w:rFonts w:ascii="Times New Roman" w:hAnsi="Times New Roman" w:cs="Times New Roman"/>
          <w:sz w:val="24"/>
          <w:szCs w:val="24"/>
          <w:lang w:val="es-ES"/>
        </w:rPr>
        <w:t xml:space="preserve">como </w:t>
      </w:r>
      <w:r w:rsidR="002D2EB3" w:rsidRPr="002458B9">
        <w:rPr>
          <w:rFonts w:ascii="Times New Roman" w:hAnsi="Times New Roman" w:cs="Times New Roman"/>
          <w:sz w:val="24"/>
          <w:szCs w:val="24"/>
          <w:lang w:val="es-ES"/>
        </w:rPr>
        <w:t xml:space="preserve">el coste de </w:t>
      </w:r>
      <w:r w:rsidR="00FB467E" w:rsidRPr="002458B9">
        <w:rPr>
          <w:rFonts w:ascii="Times New Roman" w:hAnsi="Times New Roman" w:cs="Times New Roman"/>
          <w:sz w:val="24"/>
          <w:szCs w:val="24"/>
          <w:lang w:val="es-ES"/>
        </w:rPr>
        <w:t>las</w:t>
      </w:r>
      <w:r w:rsidR="002D2EB3" w:rsidRPr="002458B9">
        <w:rPr>
          <w:rFonts w:ascii="Times New Roman" w:hAnsi="Times New Roman" w:cs="Times New Roman"/>
          <w:sz w:val="24"/>
          <w:szCs w:val="24"/>
          <w:lang w:val="es-ES"/>
        </w:rPr>
        <w:t xml:space="preserve"> necesidades básicas </w:t>
      </w:r>
      <w:r w:rsidR="00FB467E" w:rsidRPr="002458B9">
        <w:rPr>
          <w:rFonts w:ascii="Times New Roman" w:hAnsi="Times New Roman" w:cs="Times New Roman"/>
          <w:sz w:val="24"/>
          <w:szCs w:val="24"/>
          <w:lang w:val="es-ES"/>
        </w:rPr>
        <w:t>de</w:t>
      </w:r>
      <w:r w:rsidR="002D2EB3" w:rsidRPr="002458B9">
        <w:rPr>
          <w:rFonts w:ascii="Times New Roman" w:hAnsi="Times New Roman" w:cs="Times New Roman"/>
          <w:sz w:val="24"/>
          <w:szCs w:val="24"/>
          <w:lang w:val="es-ES"/>
        </w:rPr>
        <w:t xml:space="preserve"> supervivencia y niveles normales de actividad (líneas absolutas), bien </w:t>
      </w:r>
      <w:r w:rsidR="00FB467E" w:rsidRPr="002458B9">
        <w:rPr>
          <w:rFonts w:ascii="Times New Roman" w:hAnsi="Times New Roman" w:cs="Times New Roman"/>
          <w:sz w:val="24"/>
          <w:szCs w:val="24"/>
          <w:lang w:val="es-ES"/>
        </w:rPr>
        <w:t xml:space="preserve">centrando su interés en </w:t>
      </w:r>
      <w:r w:rsidR="004A1F46" w:rsidRPr="002458B9">
        <w:rPr>
          <w:rFonts w:ascii="Times New Roman" w:hAnsi="Times New Roman" w:cs="Times New Roman"/>
          <w:sz w:val="24"/>
          <w:szCs w:val="24"/>
          <w:lang w:val="es-ES"/>
        </w:rPr>
        <w:t xml:space="preserve">ciertas necesidades de inclusión social que se suponen directamente relacionadas con el nivel medio de consumo/renta de la sociedad de referencia </w:t>
      </w:r>
      <w:r w:rsidR="00803B12" w:rsidRPr="002458B9">
        <w:rPr>
          <w:rFonts w:ascii="Times New Roman" w:hAnsi="Times New Roman" w:cs="Times New Roman"/>
          <w:sz w:val="24"/>
          <w:szCs w:val="24"/>
          <w:lang w:val="es-ES"/>
        </w:rPr>
        <w:t>(líneas relativas).</w:t>
      </w:r>
      <w:r w:rsidR="009F2EB0" w:rsidRPr="002458B9">
        <w:rPr>
          <w:rFonts w:ascii="Times New Roman" w:hAnsi="Times New Roman" w:cs="Times New Roman"/>
          <w:sz w:val="24"/>
          <w:szCs w:val="24"/>
          <w:lang w:val="es-ES"/>
        </w:rPr>
        <w:t xml:space="preserve"> </w:t>
      </w:r>
      <w:r w:rsidR="00A73A2C" w:rsidRPr="002458B9">
        <w:rPr>
          <w:rFonts w:ascii="Times New Roman" w:hAnsi="Times New Roman" w:cs="Times New Roman"/>
          <w:sz w:val="24"/>
          <w:szCs w:val="24"/>
          <w:lang w:val="es-ES"/>
        </w:rPr>
        <w:t>L</w:t>
      </w:r>
      <w:r w:rsidR="009F2EB0" w:rsidRPr="002458B9">
        <w:rPr>
          <w:rFonts w:ascii="Times New Roman" w:hAnsi="Times New Roman" w:cs="Times New Roman"/>
          <w:sz w:val="24"/>
          <w:szCs w:val="24"/>
          <w:lang w:val="es-ES"/>
        </w:rPr>
        <w:t xml:space="preserve">as primeras </w:t>
      </w:r>
      <w:r w:rsidR="00A73A2C" w:rsidRPr="002458B9">
        <w:rPr>
          <w:rFonts w:ascii="Times New Roman" w:hAnsi="Times New Roman" w:cs="Times New Roman"/>
          <w:sz w:val="24"/>
          <w:szCs w:val="24"/>
          <w:lang w:val="es-ES"/>
        </w:rPr>
        <w:t xml:space="preserve">se utilizan frecuentemente </w:t>
      </w:r>
      <w:r w:rsidR="009F2EB0" w:rsidRPr="002458B9">
        <w:rPr>
          <w:rFonts w:ascii="Times New Roman" w:hAnsi="Times New Roman" w:cs="Times New Roman"/>
          <w:sz w:val="24"/>
          <w:szCs w:val="24"/>
          <w:lang w:val="es-ES"/>
        </w:rPr>
        <w:t xml:space="preserve"> en </w:t>
      </w:r>
      <w:r w:rsidRPr="002458B9">
        <w:rPr>
          <w:rFonts w:ascii="Times New Roman" w:hAnsi="Times New Roman" w:cs="Times New Roman"/>
          <w:sz w:val="24"/>
          <w:szCs w:val="24"/>
          <w:lang w:val="es-ES"/>
        </w:rPr>
        <w:t xml:space="preserve">los países menos desarrollados o en vías de desarrollo, mientras </w:t>
      </w:r>
      <w:r w:rsidR="00A73A2C" w:rsidRPr="002458B9">
        <w:rPr>
          <w:rFonts w:ascii="Times New Roman" w:hAnsi="Times New Roman" w:cs="Times New Roman"/>
          <w:sz w:val="24"/>
          <w:szCs w:val="24"/>
          <w:lang w:val="es-ES"/>
        </w:rPr>
        <w:t xml:space="preserve">las segundas se usan más habitualmente </w:t>
      </w:r>
      <w:r w:rsidRPr="002458B9">
        <w:rPr>
          <w:rFonts w:ascii="Times New Roman" w:hAnsi="Times New Roman" w:cs="Times New Roman"/>
          <w:sz w:val="24"/>
          <w:szCs w:val="24"/>
          <w:lang w:val="es-ES"/>
        </w:rPr>
        <w:t>en los países ricos, como es</w:t>
      </w:r>
      <w:r w:rsidR="00A73A2C" w:rsidRPr="002458B9">
        <w:rPr>
          <w:rFonts w:ascii="Times New Roman" w:hAnsi="Times New Roman" w:cs="Times New Roman"/>
          <w:sz w:val="24"/>
          <w:szCs w:val="24"/>
          <w:lang w:val="es-ES"/>
        </w:rPr>
        <w:t xml:space="preserve"> el caso de los países de la UE</w:t>
      </w:r>
      <w:r w:rsidRPr="002458B9">
        <w:rPr>
          <w:rFonts w:ascii="Times New Roman" w:hAnsi="Times New Roman" w:cs="Times New Roman"/>
          <w:sz w:val="24"/>
          <w:szCs w:val="24"/>
          <w:lang w:val="es-ES"/>
        </w:rPr>
        <w:t xml:space="preserve">. Siendo ésta la práctica general, no por ello está libre de toda discusión. Los argumentos teóricos que apoyan la aplicación de unas u otras líneas también han sido abundantemente debatidos, desde el campo utilitarista, </w:t>
      </w:r>
      <w:r w:rsidR="00BC13CE" w:rsidRPr="002458B9">
        <w:rPr>
          <w:rFonts w:ascii="Times New Roman" w:hAnsi="Times New Roman" w:cs="Times New Roman"/>
          <w:sz w:val="24"/>
          <w:szCs w:val="24"/>
          <w:lang w:val="es-ES"/>
        </w:rPr>
        <w:t xml:space="preserve">que considera que </w:t>
      </w:r>
      <w:r w:rsidRPr="002458B9">
        <w:rPr>
          <w:rFonts w:ascii="Times New Roman" w:hAnsi="Times New Roman" w:cs="Times New Roman"/>
          <w:sz w:val="24"/>
          <w:szCs w:val="24"/>
          <w:lang w:val="es-ES"/>
        </w:rPr>
        <w:t xml:space="preserve">el bienestar de </w:t>
      </w:r>
      <w:r w:rsidR="00BC13CE" w:rsidRPr="002458B9">
        <w:rPr>
          <w:rFonts w:ascii="Times New Roman" w:hAnsi="Times New Roman" w:cs="Times New Roman"/>
          <w:sz w:val="24"/>
          <w:szCs w:val="24"/>
          <w:lang w:val="es-ES"/>
        </w:rPr>
        <w:t>cada individuo</w:t>
      </w:r>
      <w:r w:rsidRPr="002458B9">
        <w:rPr>
          <w:rFonts w:ascii="Times New Roman" w:hAnsi="Times New Roman" w:cs="Times New Roman"/>
          <w:sz w:val="24"/>
          <w:szCs w:val="24"/>
          <w:lang w:val="es-ES"/>
        </w:rPr>
        <w:t xml:space="preserve"> no sólo </w:t>
      </w:r>
      <w:r w:rsidR="004A1F46" w:rsidRPr="002458B9">
        <w:rPr>
          <w:rFonts w:ascii="Times New Roman" w:hAnsi="Times New Roman" w:cs="Times New Roman"/>
          <w:sz w:val="24"/>
          <w:szCs w:val="24"/>
          <w:lang w:val="es-ES"/>
        </w:rPr>
        <w:t>depende</w:t>
      </w:r>
      <w:r w:rsidRPr="002458B9">
        <w:rPr>
          <w:rFonts w:ascii="Times New Roman" w:hAnsi="Times New Roman" w:cs="Times New Roman"/>
          <w:sz w:val="24"/>
          <w:szCs w:val="24"/>
          <w:lang w:val="es-ES"/>
        </w:rPr>
        <w:t xml:space="preserve"> de su nivel absoluto de renta sino también de </w:t>
      </w:r>
      <w:r w:rsidR="004A1F46" w:rsidRPr="002458B9">
        <w:rPr>
          <w:rFonts w:ascii="Times New Roman" w:hAnsi="Times New Roman" w:cs="Times New Roman"/>
          <w:sz w:val="24"/>
          <w:szCs w:val="24"/>
          <w:lang w:val="es-ES"/>
        </w:rPr>
        <w:t>su renta</w:t>
      </w:r>
      <w:r w:rsidRPr="002458B9">
        <w:rPr>
          <w:rFonts w:ascii="Times New Roman" w:hAnsi="Times New Roman" w:cs="Times New Roman"/>
          <w:sz w:val="24"/>
          <w:szCs w:val="24"/>
          <w:lang w:val="es-ES"/>
        </w:rPr>
        <w:t xml:space="preserve"> relativa dentro de la sociedad a la que pertenece, hasta el más reciente y conocido enfoque de las capacidades (</w:t>
      </w:r>
      <w:proofErr w:type="spellStart"/>
      <w:r w:rsidRPr="002458B9">
        <w:rPr>
          <w:rFonts w:ascii="Times New Roman" w:hAnsi="Times New Roman" w:cs="Times New Roman"/>
          <w:sz w:val="24"/>
          <w:szCs w:val="24"/>
          <w:lang w:val="es-ES"/>
        </w:rPr>
        <w:t>Sen</w:t>
      </w:r>
      <w:proofErr w:type="spellEnd"/>
      <w:r w:rsidRPr="002458B9">
        <w:rPr>
          <w:rFonts w:ascii="Times New Roman" w:hAnsi="Times New Roman" w:cs="Times New Roman"/>
          <w:sz w:val="24"/>
          <w:szCs w:val="24"/>
          <w:lang w:val="es-ES"/>
        </w:rPr>
        <w:t xml:space="preserve">, 1983, 1985), según el cual la </w:t>
      </w:r>
      <w:r w:rsidRPr="002458B9">
        <w:rPr>
          <w:rFonts w:ascii="Times New Roman" w:hAnsi="Times New Roman" w:cs="Times New Roman"/>
          <w:sz w:val="24"/>
          <w:szCs w:val="24"/>
          <w:lang w:val="es-ES"/>
        </w:rPr>
        <w:lastRenderedPageBreak/>
        <w:t xml:space="preserve">pobreza es absoluta en el espacio de las capacidades pero relativa en el de los bienes (consumo, renta). </w:t>
      </w:r>
    </w:p>
    <w:p w:rsidR="00591C79" w:rsidRPr="002458B9" w:rsidRDefault="003D3C70" w:rsidP="002458B9">
      <w:pPr>
        <w:spacing w:before="120" w:after="120" w:line="360" w:lineRule="auto"/>
        <w:jc w:val="both"/>
        <w:rPr>
          <w:rFonts w:ascii="Times New Roman" w:hAnsi="Times New Roman" w:cs="Times New Roman"/>
          <w:sz w:val="24"/>
          <w:szCs w:val="24"/>
          <w:lang w:val="es-ES"/>
        </w:rPr>
      </w:pPr>
      <w:r w:rsidRPr="002458B9">
        <w:rPr>
          <w:rFonts w:ascii="Times New Roman" w:hAnsi="Times New Roman" w:cs="Times New Roman"/>
          <w:sz w:val="24"/>
          <w:szCs w:val="24"/>
          <w:lang w:val="es-ES"/>
        </w:rPr>
        <w:t>E</w:t>
      </w:r>
      <w:r w:rsidR="00591C79" w:rsidRPr="002458B9">
        <w:rPr>
          <w:rFonts w:ascii="Times New Roman" w:hAnsi="Times New Roman" w:cs="Times New Roman"/>
          <w:sz w:val="24"/>
          <w:szCs w:val="24"/>
          <w:lang w:val="es-ES"/>
        </w:rPr>
        <w:t xml:space="preserve">n los últimos años, buscando una metodología adecuada para la medición de la pobreza a nivel mundial y, en especial, para los países en vías de desarrollo, autores como </w:t>
      </w:r>
      <w:proofErr w:type="spellStart"/>
      <w:r w:rsidR="00591C79" w:rsidRPr="002458B9">
        <w:rPr>
          <w:rFonts w:ascii="Times New Roman" w:hAnsi="Times New Roman" w:cs="Times New Roman"/>
          <w:sz w:val="24"/>
          <w:szCs w:val="24"/>
          <w:lang w:val="es-ES"/>
        </w:rPr>
        <w:t>Ravallion</w:t>
      </w:r>
      <w:proofErr w:type="spellEnd"/>
      <w:r w:rsidR="00591C79" w:rsidRPr="002458B9">
        <w:rPr>
          <w:rFonts w:ascii="Times New Roman" w:hAnsi="Times New Roman" w:cs="Times New Roman"/>
          <w:sz w:val="24"/>
          <w:szCs w:val="24"/>
          <w:lang w:val="es-ES"/>
        </w:rPr>
        <w:t xml:space="preserve"> y </w:t>
      </w:r>
      <w:proofErr w:type="spellStart"/>
      <w:r w:rsidR="00591C79" w:rsidRPr="002458B9">
        <w:rPr>
          <w:rFonts w:ascii="Times New Roman" w:hAnsi="Times New Roman" w:cs="Times New Roman"/>
          <w:sz w:val="24"/>
          <w:szCs w:val="24"/>
          <w:lang w:val="es-ES"/>
        </w:rPr>
        <w:t>Chen</w:t>
      </w:r>
      <w:proofErr w:type="spellEnd"/>
      <w:r w:rsidR="00591C79" w:rsidRPr="002458B9">
        <w:rPr>
          <w:rFonts w:ascii="Times New Roman" w:hAnsi="Times New Roman" w:cs="Times New Roman"/>
          <w:sz w:val="24"/>
          <w:szCs w:val="24"/>
          <w:lang w:val="es-ES"/>
        </w:rPr>
        <w:t xml:space="preserve"> (2011) abogan por la utilización de líneas de pobreza que ellos denominan débilmente relativas. En su planteamiento proponen el siguiente axioma de relatividad débil: “si todas las rentas se incrementan (disminuyen) en la misma proporción, entonces una medida de pobreza agregada debe disminuir (aumentar)” (</w:t>
      </w:r>
      <w:proofErr w:type="spellStart"/>
      <w:r w:rsidR="00591C79" w:rsidRPr="002458B9">
        <w:rPr>
          <w:rFonts w:ascii="Times New Roman" w:hAnsi="Times New Roman" w:cs="Times New Roman"/>
          <w:sz w:val="24"/>
          <w:szCs w:val="24"/>
          <w:lang w:val="es-ES"/>
        </w:rPr>
        <w:t>Ravallion</w:t>
      </w:r>
      <w:proofErr w:type="spellEnd"/>
      <w:r w:rsidR="00591C79" w:rsidRPr="002458B9">
        <w:rPr>
          <w:rFonts w:ascii="Times New Roman" w:hAnsi="Times New Roman" w:cs="Times New Roman"/>
          <w:sz w:val="24"/>
          <w:szCs w:val="24"/>
          <w:lang w:val="es-ES"/>
        </w:rPr>
        <w:t xml:space="preserve"> y </w:t>
      </w:r>
      <w:proofErr w:type="spellStart"/>
      <w:r w:rsidR="00591C79" w:rsidRPr="002458B9">
        <w:rPr>
          <w:rFonts w:ascii="Times New Roman" w:hAnsi="Times New Roman" w:cs="Times New Roman"/>
          <w:sz w:val="24"/>
          <w:szCs w:val="24"/>
          <w:lang w:val="es-ES"/>
        </w:rPr>
        <w:t>Chen</w:t>
      </w:r>
      <w:proofErr w:type="spellEnd"/>
      <w:r w:rsidR="00591C79" w:rsidRPr="002458B9">
        <w:rPr>
          <w:rFonts w:ascii="Times New Roman" w:hAnsi="Times New Roman" w:cs="Times New Roman"/>
          <w:sz w:val="24"/>
          <w:szCs w:val="24"/>
          <w:lang w:val="es-ES"/>
        </w:rPr>
        <w:t>, 2011, p.</w:t>
      </w:r>
      <w:r w:rsidR="00796C9A">
        <w:rPr>
          <w:rFonts w:ascii="Times New Roman" w:hAnsi="Times New Roman" w:cs="Times New Roman"/>
          <w:sz w:val="24"/>
          <w:szCs w:val="24"/>
          <w:lang w:val="es-ES"/>
        </w:rPr>
        <w:t xml:space="preserve"> </w:t>
      </w:r>
      <w:r w:rsidR="00591C79" w:rsidRPr="002458B9">
        <w:rPr>
          <w:rFonts w:ascii="Times New Roman" w:hAnsi="Times New Roman" w:cs="Times New Roman"/>
          <w:sz w:val="24"/>
          <w:szCs w:val="24"/>
          <w:lang w:val="es-ES"/>
        </w:rPr>
        <w:t xml:space="preserve">1252). Este axioma, además de ser compatible con el enfoque utilitarista y con el de capacidades, expresa una valoración lógica e intuitiva que la medición </w:t>
      </w:r>
      <w:r w:rsidR="005D1E96" w:rsidRPr="002458B9">
        <w:rPr>
          <w:rFonts w:ascii="Times New Roman" w:hAnsi="Times New Roman" w:cs="Times New Roman"/>
          <w:sz w:val="24"/>
          <w:szCs w:val="24"/>
          <w:lang w:val="es-ES"/>
        </w:rPr>
        <w:t xml:space="preserve">estrictamente </w:t>
      </w:r>
      <w:r w:rsidR="00591C79" w:rsidRPr="002458B9">
        <w:rPr>
          <w:rFonts w:ascii="Times New Roman" w:hAnsi="Times New Roman" w:cs="Times New Roman"/>
          <w:sz w:val="24"/>
          <w:szCs w:val="24"/>
          <w:lang w:val="es-ES"/>
        </w:rPr>
        <w:t>relativa de la pobreza no t</w:t>
      </w:r>
      <w:r w:rsidR="00A54883" w:rsidRPr="002458B9">
        <w:rPr>
          <w:rFonts w:ascii="Times New Roman" w:hAnsi="Times New Roman" w:cs="Times New Roman"/>
          <w:sz w:val="24"/>
          <w:szCs w:val="24"/>
          <w:lang w:val="es-ES"/>
        </w:rPr>
        <w:t>iene</w:t>
      </w:r>
      <w:r w:rsidR="00591C79" w:rsidRPr="002458B9">
        <w:rPr>
          <w:rFonts w:ascii="Times New Roman" w:hAnsi="Times New Roman" w:cs="Times New Roman"/>
          <w:sz w:val="24"/>
          <w:szCs w:val="24"/>
          <w:lang w:val="es-ES"/>
        </w:rPr>
        <w:t xml:space="preserve"> en cuenta: si la renta media de la sociedad disminuye, la sociedad en su conjunto </w:t>
      </w:r>
      <w:r w:rsidR="002458B9">
        <w:rPr>
          <w:rFonts w:ascii="Times New Roman" w:hAnsi="Times New Roman" w:cs="Times New Roman"/>
          <w:sz w:val="24"/>
          <w:szCs w:val="24"/>
          <w:lang w:val="es-ES"/>
        </w:rPr>
        <w:t xml:space="preserve">se </w:t>
      </w:r>
      <w:r w:rsidR="00591C79" w:rsidRPr="002458B9">
        <w:rPr>
          <w:rFonts w:ascii="Times New Roman" w:hAnsi="Times New Roman" w:cs="Times New Roman"/>
          <w:sz w:val="24"/>
          <w:szCs w:val="24"/>
          <w:lang w:val="es-ES"/>
        </w:rPr>
        <w:t xml:space="preserve">empobrece. Cierto es que dicho empobrecimiento dependerá de cómo se distribuya tal pérdida. Si todos y cada uno de los individuos de la población ven disminuir su renta en la misma proporción, la pobreza relativa no aumentaría pero sí lo hace la absoluta. Por el contrario, si la disminución relativa de la renta fuese más fuerte entre la población de menores ingresos, no sólo aumentaría la pobreza absoluta sino también la relativa. </w:t>
      </w:r>
    </w:p>
    <w:p w:rsidR="00CD4CBE" w:rsidRPr="002458B9" w:rsidRDefault="00A54883" w:rsidP="002458B9">
      <w:pPr>
        <w:spacing w:before="120" w:after="120" w:line="360" w:lineRule="auto"/>
        <w:jc w:val="both"/>
        <w:rPr>
          <w:rFonts w:ascii="Times New Roman" w:hAnsi="Times New Roman" w:cs="Times New Roman"/>
          <w:sz w:val="24"/>
          <w:szCs w:val="24"/>
          <w:lang w:val="es-ES"/>
        </w:rPr>
      </w:pPr>
      <w:r w:rsidRPr="002458B9">
        <w:rPr>
          <w:rFonts w:ascii="Times New Roman" w:hAnsi="Times New Roman" w:cs="Times New Roman"/>
          <w:sz w:val="24"/>
          <w:szCs w:val="24"/>
          <w:lang w:val="es-ES"/>
        </w:rPr>
        <w:t>En esta línea argumentativa, si un país como España sufre disminuciones continuadas de sus niveles medios de renta, la</w:t>
      </w:r>
      <w:r w:rsidR="00E74475" w:rsidRPr="002458B9">
        <w:rPr>
          <w:rFonts w:ascii="Times New Roman" w:hAnsi="Times New Roman" w:cs="Times New Roman"/>
          <w:sz w:val="24"/>
          <w:szCs w:val="24"/>
          <w:lang w:val="es-ES"/>
        </w:rPr>
        <w:t>s líneas y medidas de</w:t>
      </w:r>
      <w:r w:rsidRPr="002458B9">
        <w:rPr>
          <w:rFonts w:ascii="Times New Roman" w:hAnsi="Times New Roman" w:cs="Times New Roman"/>
          <w:sz w:val="24"/>
          <w:szCs w:val="24"/>
          <w:lang w:val="es-ES"/>
        </w:rPr>
        <w:t xml:space="preserve"> pobreza puramente</w:t>
      </w:r>
      <w:r w:rsidR="00E74475" w:rsidRPr="002458B9">
        <w:rPr>
          <w:rFonts w:ascii="Times New Roman" w:hAnsi="Times New Roman" w:cs="Times New Roman"/>
          <w:sz w:val="24"/>
          <w:szCs w:val="24"/>
          <w:lang w:val="es-ES"/>
        </w:rPr>
        <w:t xml:space="preserve"> relativa</w:t>
      </w:r>
      <w:r w:rsidRPr="002458B9">
        <w:rPr>
          <w:rFonts w:ascii="Times New Roman" w:hAnsi="Times New Roman" w:cs="Times New Roman"/>
          <w:sz w:val="24"/>
          <w:szCs w:val="24"/>
          <w:lang w:val="es-ES"/>
        </w:rPr>
        <w:t xml:space="preserve">s </w:t>
      </w:r>
      <w:r w:rsidR="00E74475" w:rsidRPr="002458B9">
        <w:rPr>
          <w:rFonts w:ascii="Times New Roman" w:hAnsi="Times New Roman" w:cs="Times New Roman"/>
          <w:sz w:val="24"/>
          <w:szCs w:val="24"/>
          <w:lang w:val="es-ES"/>
        </w:rPr>
        <w:t xml:space="preserve">no son capaces de </w:t>
      </w:r>
      <w:r w:rsidRPr="002458B9">
        <w:rPr>
          <w:rFonts w:ascii="Times New Roman" w:hAnsi="Times New Roman" w:cs="Times New Roman"/>
          <w:sz w:val="24"/>
          <w:szCs w:val="24"/>
          <w:lang w:val="es-ES"/>
        </w:rPr>
        <w:t>cuantificar el empeoramiento</w:t>
      </w:r>
      <w:r w:rsidR="005A4B8A" w:rsidRPr="002458B9">
        <w:rPr>
          <w:rFonts w:ascii="Times New Roman" w:hAnsi="Times New Roman" w:cs="Times New Roman"/>
          <w:sz w:val="24"/>
          <w:szCs w:val="24"/>
          <w:lang w:val="es-ES"/>
        </w:rPr>
        <w:t xml:space="preserve"> </w:t>
      </w:r>
      <w:r w:rsidR="00CD4CBE" w:rsidRPr="002458B9">
        <w:rPr>
          <w:rFonts w:ascii="Times New Roman" w:hAnsi="Times New Roman" w:cs="Times New Roman"/>
          <w:sz w:val="24"/>
          <w:szCs w:val="24"/>
          <w:lang w:val="es-ES"/>
        </w:rPr>
        <w:t>medio</w:t>
      </w:r>
      <w:r w:rsidR="00E74475" w:rsidRPr="002458B9">
        <w:rPr>
          <w:rFonts w:ascii="Times New Roman" w:hAnsi="Times New Roman" w:cs="Times New Roman"/>
          <w:sz w:val="24"/>
          <w:szCs w:val="24"/>
          <w:lang w:val="es-ES"/>
        </w:rPr>
        <w:t xml:space="preserve"> que sufre la población. </w:t>
      </w:r>
      <w:r w:rsidR="005A4B8A" w:rsidRPr="002458B9">
        <w:rPr>
          <w:rFonts w:ascii="Times New Roman" w:hAnsi="Times New Roman" w:cs="Times New Roman"/>
          <w:sz w:val="24"/>
          <w:szCs w:val="24"/>
          <w:lang w:val="es-ES"/>
        </w:rPr>
        <w:t xml:space="preserve">Si además, </w:t>
      </w:r>
      <w:r w:rsidR="00CD4CBE" w:rsidRPr="002458B9">
        <w:rPr>
          <w:rFonts w:ascii="Times New Roman" w:hAnsi="Times New Roman" w:cs="Times New Roman"/>
          <w:sz w:val="24"/>
          <w:szCs w:val="24"/>
          <w:lang w:val="es-ES"/>
        </w:rPr>
        <w:t xml:space="preserve">los niveles medios de precios suben, el poder adquisitivo baja. Y si a esto sumamos que </w:t>
      </w:r>
      <w:r w:rsidR="00AD57DB" w:rsidRPr="002458B9">
        <w:rPr>
          <w:rFonts w:ascii="Times New Roman" w:hAnsi="Times New Roman" w:cs="Times New Roman"/>
          <w:sz w:val="24"/>
          <w:szCs w:val="24"/>
          <w:lang w:val="es-ES"/>
        </w:rPr>
        <w:t xml:space="preserve">los </w:t>
      </w:r>
      <w:r w:rsidR="00CD4CBE" w:rsidRPr="002458B9">
        <w:rPr>
          <w:rFonts w:ascii="Times New Roman" w:hAnsi="Times New Roman" w:cs="Times New Roman"/>
          <w:sz w:val="24"/>
          <w:szCs w:val="24"/>
          <w:lang w:val="es-ES"/>
        </w:rPr>
        <w:t xml:space="preserve">precios difieren según la comunidad autónoma en la que se reside, las </w:t>
      </w:r>
      <w:r w:rsidR="00AD57DB" w:rsidRPr="002458B9">
        <w:rPr>
          <w:rFonts w:ascii="Times New Roman" w:hAnsi="Times New Roman" w:cs="Times New Roman"/>
          <w:sz w:val="24"/>
          <w:szCs w:val="24"/>
          <w:lang w:val="es-ES"/>
        </w:rPr>
        <w:t>mediciones</w:t>
      </w:r>
      <w:r w:rsidR="00F62FFA" w:rsidRPr="002458B9">
        <w:rPr>
          <w:rFonts w:ascii="Times New Roman" w:hAnsi="Times New Roman" w:cs="Times New Roman"/>
          <w:sz w:val="24"/>
          <w:szCs w:val="24"/>
          <w:lang w:val="es-ES"/>
        </w:rPr>
        <w:t xml:space="preserve"> tradicionales</w:t>
      </w:r>
      <w:r w:rsidR="00CD4CBE" w:rsidRPr="002458B9">
        <w:rPr>
          <w:rFonts w:ascii="Times New Roman" w:hAnsi="Times New Roman" w:cs="Times New Roman"/>
          <w:sz w:val="24"/>
          <w:szCs w:val="24"/>
          <w:lang w:val="es-ES"/>
        </w:rPr>
        <w:t xml:space="preserve"> realizadas </w:t>
      </w:r>
      <w:r w:rsidR="00AD57DB" w:rsidRPr="002458B9">
        <w:rPr>
          <w:rFonts w:ascii="Times New Roman" w:hAnsi="Times New Roman" w:cs="Times New Roman"/>
          <w:sz w:val="24"/>
          <w:szCs w:val="24"/>
          <w:lang w:val="es-ES"/>
        </w:rPr>
        <w:t xml:space="preserve">a través de </w:t>
      </w:r>
      <w:r w:rsidR="00CD4CBE" w:rsidRPr="002458B9">
        <w:rPr>
          <w:rFonts w:ascii="Times New Roman" w:hAnsi="Times New Roman" w:cs="Times New Roman"/>
          <w:sz w:val="24"/>
          <w:szCs w:val="24"/>
          <w:lang w:val="es-ES"/>
        </w:rPr>
        <w:t xml:space="preserve">la renta en unidades monetarias corrientes </w:t>
      </w:r>
      <w:r w:rsidR="005D1E96" w:rsidRPr="002458B9">
        <w:rPr>
          <w:rFonts w:ascii="Times New Roman" w:hAnsi="Times New Roman" w:cs="Times New Roman"/>
          <w:sz w:val="24"/>
          <w:szCs w:val="24"/>
          <w:lang w:val="es-ES"/>
        </w:rPr>
        <w:t xml:space="preserve">y con líneas estatales </w:t>
      </w:r>
      <w:r w:rsidR="00CD4CBE" w:rsidRPr="002458B9">
        <w:rPr>
          <w:rFonts w:ascii="Times New Roman" w:hAnsi="Times New Roman" w:cs="Times New Roman"/>
          <w:sz w:val="24"/>
          <w:szCs w:val="24"/>
          <w:lang w:val="es-ES"/>
        </w:rPr>
        <w:t xml:space="preserve">pueden </w:t>
      </w:r>
      <w:r w:rsidR="00F62FFA" w:rsidRPr="002458B9">
        <w:rPr>
          <w:rFonts w:ascii="Times New Roman" w:hAnsi="Times New Roman" w:cs="Times New Roman"/>
          <w:sz w:val="24"/>
          <w:szCs w:val="24"/>
          <w:lang w:val="es-ES"/>
        </w:rPr>
        <w:t>no ser las más acertadas para cuantificar el impacto real de la pobreza</w:t>
      </w:r>
      <w:r w:rsidR="00AD57DB" w:rsidRPr="002458B9">
        <w:rPr>
          <w:rFonts w:ascii="Times New Roman" w:hAnsi="Times New Roman" w:cs="Times New Roman"/>
          <w:sz w:val="24"/>
          <w:szCs w:val="24"/>
          <w:lang w:val="es-ES"/>
        </w:rPr>
        <w:t>.</w:t>
      </w:r>
      <w:r w:rsidR="007A6B08" w:rsidRPr="002458B9">
        <w:rPr>
          <w:rFonts w:ascii="Times New Roman" w:hAnsi="Times New Roman" w:cs="Times New Roman"/>
          <w:sz w:val="24"/>
          <w:szCs w:val="24"/>
          <w:lang w:val="es-ES"/>
        </w:rPr>
        <w:t xml:space="preserve"> </w:t>
      </w:r>
      <w:r w:rsidR="00AD57DB" w:rsidRPr="002458B9">
        <w:rPr>
          <w:rFonts w:ascii="Times New Roman" w:hAnsi="Times New Roman" w:cs="Times New Roman"/>
          <w:sz w:val="24"/>
          <w:szCs w:val="24"/>
          <w:lang w:val="es-ES"/>
        </w:rPr>
        <w:t>En el caso español, la estructura de precios varía tanto espacial como temporalmente, por lo que los ingresos disponibles de los hogares no tienen la misma capacidad de compra ni en las distintas comunidades autónomas ni a lo largo del tiempo. De ahí la necesidad de aplicar paridades de poder adquisitivo</w:t>
      </w:r>
      <w:r w:rsidR="00652589" w:rsidRPr="002458B9">
        <w:rPr>
          <w:rFonts w:ascii="Times New Roman" w:hAnsi="Times New Roman" w:cs="Times New Roman"/>
          <w:sz w:val="24"/>
          <w:szCs w:val="24"/>
          <w:lang w:val="es-ES"/>
        </w:rPr>
        <w:t>,</w:t>
      </w:r>
      <w:r w:rsidR="00AD57DB" w:rsidRPr="002458B9">
        <w:rPr>
          <w:rFonts w:ascii="Times New Roman" w:hAnsi="Times New Roman" w:cs="Times New Roman"/>
          <w:sz w:val="24"/>
          <w:szCs w:val="24"/>
          <w:lang w:val="es-ES"/>
        </w:rPr>
        <w:t xml:space="preserve"> PPA</w:t>
      </w:r>
      <w:r w:rsidR="00652589" w:rsidRPr="002458B9">
        <w:rPr>
          <w:rFonts w:ascii="Times New Roman" w:hAnsi="Times New Roman" w:cs="Times New Roman"/>
          <w:sz w:val="24"/>
          <w:szCs w:val="24"/>
          <w:lang w:val="es-ES"/>
        </w:rPr>
        <w:t>,</w:t>
      </w:r>
      <w:r w:rsidR="00AD57DB" w:rsidRPr="002458B9">
        <w:rPr>
          <w:rFonts w:ascii="Times New Roman" w:hAnsi="Times New Roman" w:cs="Times New Roman"/>
          <w:sz w:val="24"/>
          <w:szCs w:val="24"/>
          <w:lang w:val="es-ES"/>
        </w:rPr>
        <w:t xml:space="preserve"> para homogeneizar las rentas en el ámbito espacial, así como í</w:t>
      </w:r>
      <w:r w:rsidR="00652589" w:rsidRPr="002458B9">
        <w:rPr>
          <w:rFonts w:ascii="Times New Roman" w:hAnsi="Times New Roman" w:cs="Times New Roman"/>
          <w:sz w:val="24"/>
          <w:szCs w:val="24"/>
          <w:lang w:val="es-ES"/>
        </w:rPr>
        <w:t xml:space="preserve">ndices de precios al consumidor, </w:t>
      </w:r>
      <w:r w:rsidR="00AD57DB" w:rsidRPr="002458B9">
        <w:rPr>
          <w:rFonts w:ascii="Times New Roman" w:hAnsi="Times New Roman" w:cs="Times New Roman"/>
          <w:sz w:val="24"/>
          <w:szCs w:val="24"/>
          <w:lang w:val="es-ES"/>
        </w:rPr>
        <w:t>IPC</w:t>
      </w:r>
      <w:r w:rsidR="00652589" w:rsidRPr="002458B9">
        <w:rPr>
          <w:rFonts w:ascii="Times New Roman" w:hAnsi="Times New Roman" w:cs="Times New Roman"/>
          <w:sz w:val="24"/>
          <w:szCs w:val="24"/>
          <w:lang w:val="es-ES"/>
        </w:rPr>
        <w:t>,</w:t>
      </w:r>
      <w:r w:rsidR="00AD57DB" w:rsidRPr="002458B9">
        <w:rPr>
          <w:rFonts w:ascii="Times New Roman" w:hAnsi="Times New Roman" w:cs="Times New Roman"/>
          <w:sz w:val="24"/>
          <w:szCs w:val="24"/>
          <w:lang w:val="es-ES"/>
        </w:rPr>
        <w:t xml:space="preserve"> con el objeto de </w:t>
      </w:r>
      <w:r w:rsidR="00F62FFA" w:rsidRPr="002458B9">
        <w:rPr>
          <w:rFonts w:ascii="Times New Roman" w:hAnsi="Times New Roman" w:cs="Times New Roman"/>
          <w:sz w:val="24"/>
          <w:szCs w:val="24"/>
          <w:lang w:val="es-ES"/>
        </w:rPr>
        <w:t xml:space="preserve">eliminar el efecto de las variaciones de precios </w:t>
      </w:r>
      <w:r w:rsidR="00652589" w:rsidRPr="002458B9">
        <w:rPr>
          <w:rFonts w:ascii="Times New Roman" w:hAnsi="Times New Roman" w:cs="Times New Roman"/>
          <w:sz w:val="24"/>
          <w:szCs w:val="24"/>
          <w:lang w:val="es-ES"/>
        </w:rPr>
        <w:t>a lo largo del tiempo</w:t>
      </w:r>
      <w:r w:rsidR="00AD57DB" w:rsidRPr="002458B9">
        <w:rPr>
          <w:rFonts w:ascii="Times New Roman" w:hAnsi="Times New Roman" w:cs="Times New Roman"/>
          <w:sz w:val="24"/>
          <w:szCs w:val="24"/>
          <w:lang w:val="es-ES"/>
        </w:rPr>
        <w:t xml:space="preserve">. </w:t>
      </w:r>
      <w:r w:rsidR="00652589" w:rsidRPr="002458B9">
        <w:rPr>
          <w:rFonts w:ascii="Times New Roman" w:hAnsi="Times New Roman" w:cs="Times New Roman"/>
          <w:sz w:val="24"/>
          <w:szCs w:val="24"/>
          <w:lang w:val="es-ES"/>
        </w:rPr>
        <w:t xml:space="preserve">Así pues, </w:t>
      </w:r>
      <w:r w:rsidR="00F62FFA" w:rsidRPr="002458B9">
        <w:rPr>
          <w:rFonts w:ascii="Times New Roman" w:hAnsi="Times New Roman" w:cs="Times New Roman"/>
          <w:sz w:val="24"/>
          <w:szCs w:val="24"/>
          <w:lang w:val="es-ES"/>
        </w:rPr>
        <w:t>nuestra propuesta es</w:t>
      </w:r>
      <w:r w:rsidR="00AD57DB" w:rsidRPr="002458B9">
        <w:rPr>
          <w:rFonts w:ascii="Times New Roman" w:hAnsi="Times New Roman" w:cs="Times New Roman"/>
          <w:sz w:val="24"/>
          <w:szCs w:val="24"/>
          <w:lang w:val="es-ES"/>
        </w:rPr>
        <w:t xml:space="preserve"> anclar la línea de pobreza en un año concreto y </w:t>
      </w:r>
      <w:r w:rsidR="00F62FFA" w:rsidRPr="002458B9">
        <w:rPr>
          <w:rFonts w:ascii="Times New Roman" w:hAnsi="Times New Roman" w:cs="Times New Roman"/>
          <w:sz w:val="24"/>
          <w:szCs w:val="24"/>
          <w:lang w:val="es-ES"/>
        </w:rPr>
        <w:t>homogeneizar (espacial y temporalmente)</w:t>
      </w:r>
      <w:r w:rsidR="00AD57DB" w:rsidRPr="002458B9">
        <w:rPr>
          <w:rFonts w:ascii="Times New Roman" w:hAnsi="Times New Roman" w:cs="Times New Roman"/>
          <w:sz w:val="24"/>
          <w:szCs w:val="24"/>
          <w:lang w:val="es-ES"/>
        </w:rPr>
        <w:t xml:space="preserve"> las rentas </w:t>
      </w:r>
      <w:r w:rsidR="00F62FFA" w:rsidRPr="002458B9">
        <w:rPr>
          <w:rFonts w:ascii="Times New Roman" w:hAnsi="Times New Roman" w:cs="Times New Roman"/>
          <w:sz w:val="24"/>
          <w:szCs w:val="24"/>
          <w:lang w:val="es-ES"/>
        </w:rPr>
        <w:t>en su poder adquisitivo.</w:t>
      </w:r>
      <w:r w:rsidR="00AD57DB" w:rsidRPr="002458B9">
        <w:rPr>
          <w:rFonts w:ascii="Times New Roman" w:hAnsi="Times New Roman" w:cs="Times New Roman"/>
          <w:sz w:val="24"/>
          <w:szCs w:val="24"/>
          <w:lang w:val="es-ES"/>
        </w:rPr>
        <w:t xml:space="preserve"> </w:t>
      </w:r>
    </w:p>
    <w:p w:rsidR="00652589" w:rsidRPr="002458B9" w:rsidRDefault="00652589" w:rsidP="00796C9A">
      <w:pPr>
        <w:keepNext/>
        <w:spacing w:before="120" w:after="120" w:line="360" w:lineRule="auto"/>
        <w:jc w:val="both"/>
        <w:rPr>
          <w:rFonts w:ascii="Times New Roman" w:hAnsi="Times New Roman" w:cs="Times New Roman"/>
          <w:sz w:val="24"/>
          <w:szCs w:val="24"/>
          <w:lang w:val="es-ES"/>
        </w:rPr>
      </w:pPr>
      <w:r w:rsidRPr="002458B9">
        <w:rPr>
          <w:rFonts w:ascii="Times New Roman" w:hAnsi="Times New Roman" w:cs="Times New Roman"/>
          <w:sz w:val="24"/>
          <w:szCs w:val="24"/>
          <w:lang w:val="es-ES"/>
        </w:rPr>
        <w:lastRenderedPageBreak/>
        <w:t>PARIDADES DE PODER ADQUISITIVO</w:t>
      </w:r>
    </w:p>
    <w:p w:rsidR="00652589" w:rsidRPr="002458B9" w:rsidRDefault="00652589" w:rsidP="002458B9">
      <w:pPr>
        <w:spacing w:before="120" w:after="120" w:line="360" w:lineRule="auto"/>
        <w:jc w:val="both"/>
        <w:rPr>
          <w:rFonts w:ascii="Times New Roman" w:hAnsi="Times New Roman" w:cs="Times New Roman"/>
          <w:sz w:val="24"/>
          <w:szCs w:val="24"/>
          <w:lang w:val="es-ES"/>
        </w:rPr>
      </w:pPr>
      <w:r w:rsidRPr="002458B9">
        <w:rPr>
          <w:rFonts w:ascii="Times New Roman" w:hAnsi="Times New Roman" w:cs="Times New Roman"/>
          <w:sz w:val="24"/>
          <w:szCs w:val="24"/>
          <w:lang w:val="es-ES"/>
        </w:rPr>
        <w:t xml:space="preserve">Si bien la necesidad de homogeneizar </w:t>
      </w:r>
      <w:r w:rsidR="005510DF" w:rsidRPr="002458B9">
        <w:rPr>
          <w:rFonts w:ascii="Times New Roman" w:hAnsi="Times New Roman" w:cs="Times New Roman"/>
          <w:sz w:val="24"/>
          <w:szCs w:val="24"/>
          <w:lang w:val="es-ES"/>
        </w:rPr>
        <w:t xml:space="preserve">espacialmente </w:t>
      </w:r>
      <w:r w:rsidRPr="002458B9">
        <w:rPr>
          <w:rFonts w:ascii="Times New Roman" w:hAnsi="Times New Roman" w:cs="Times New Roman"/>
          <w:sz w:val="24"/>
          <w:szCs w:val="24"/>
          <w:lang w:val="es-ES"/>
        </w:rPr>
        <w:t xml:space="preserve">las rentas aplicando paridades no es nueva, España no cuenta con </w:t>
      </w:r>
      <w:proofErr w:type="spellStart"/>
      <w:r w:rsidRPr="002458B9">
        <w:rPr>
          <w:rFonts w:ascii="Times New Roman" w:hAnsi="Times New Roman" w:cs="Times New Roman"/>
          <w:sz w:val="24"/>
          <w:szCs w:val="24"/>
          <w:lang w:val="es-ES"/>
        </w:rPr>
        <w:t>microdatos</w:t>
      </w:r>
      <w:proofErr w:type="spellEnd"/>
      <w:r w:rsidRPr="002458B9">
        <w:rPr>
          <w:rFonts w:ascii="Times New Roman" w:hAnsi="Times New Roman" w:cs="Times New Roman"/>
          <w:sz w:val="24"/>
          <w:szCs w:val="24"/>
          <w:lang w:val="es-ES"/>
        </w:rPr>
        <w:t xml:space="preserve"> adecuados para construir series anuales de índices de paridades regionales, a excepción de una encuesta especial de precios regionales realizada por el INE en 1989 que ha permitido obtener PPA regionales para dicho año. Detectada esta carencia, y con ánimo de solventar sus consecuencias, organismos oficiales como el Instituto Estadístico de Cataluña (INDESCAT) y autores como López y </w:t>
      </w:r>
      <w:proofErr w:type="spellStart"/>
      <w:r w:rsidRPr="002458B9">
        <w:rPr>
          <w:rFonts w:ascii="Times New Roman" w:hAnsi="Times New Roman" w:cs="Times New Roman"/>
          <w:sz w:val="24"/>
          <w:szCs w:val="24"/>
          <w:lang w:val="es-ES"/>
        </w:rPr>
        <w:t>Padró</w:t>
      </w:r>
      <w:proofErr w:type="spellEnd"/>
      <w:r w:rsidRPr="002458B9">
        <w:rPr>
          <w:rFonts w:ascii="Times New Roman" w:hAnsi="Times New Roman" w:cs="Times New Roman"/>
          <w:sz w:val="24"/>
          <w:szCs w:val="24"/>
          <w:lang w:val="es-ES"/>
        </w:rPr>
        <w:t xml:space="preserve"> (2000),</w:t>
      </w:r>
      <w:r w:rsidR="0019026C">
        <w:rPr>
          <w:rFonts w:ascii="Times New Roman" w:hAnsi="Times New Roman" w:cs="Times New Roman"/>
          <w:sz w:val="24"/>
          <w:szCs w:val="24"/>
          <w:lang w:val="es-ES"/>
        </w:rPr>
        <w:t xml:space="preserve"> Ayala (2005), Ayala et al (2014</w:t>
      </w:r>
      <w:r w:rsidRPr="002458B9">
        <w:rPr>
          <w:rFonts w:ascii="Times New Roman" w:hAnsi="Times New Roman" w:cs="Times New Roman"/>
          <w:sz w:val="24"/>
          <w:szCs w:val="24"/>
          <w:lang w:val="es-ES"/>
        </w:rPr>
        <w:t>), Rodríguez et al (2002, 2004), etc</w:t>
      </w:r>
      <w:r w:rsidR="002458B9">
        <w:rPr>
          <w:rFonts w:ascii="Times New Roman" w:hAnsi="Times New Roman" w:cs="Times New Roman"/>
          <w:sz w:val="24"/>
          <w:szCs w:val="24"/>
          <w:lang w:val="es-ES"/>
        </w:rPr>
        <w:t>.</w:t>
      </w:r>
      <w:r w:rsidRPr="002458B9">
        <w:rPr>
          <w:rFonts w:ascii="Times New Roman" w:hAnsi="Times New Roman" w:cs="Times New Roman"/>
          <w:sz w:val="24"/>
          <w:szCs w:val="24"/>
          <w:lang w:val="es-ES"/>
        </w:rPr>
        <w:t xml:space="preserve"> han desarrollado metodologías y/o construido índices de paridades actualizando las diferencias de precios regionales procedentes de la encuesta de 1989 a través de la evolución de los Índices de Precios al Consumo (IPC) regionales. Cabe destacar que estos no han sido los únicos intentos de construir índices que permitan realizar comparaciones en términos reales. De hecho, y también al objeto de analizar la evolución real de la pobreza regional en estos años de crisis económica, Rubiera et al (2013) han elaborado índices del coste de la vida (ICV) usando los </w:t>
      </w:r>
      <w:proofErr w:type="spellStart"/>
      <w:r w:rsidRPr="002458B9">
        <w:rPr>
          <w:rFonts w:ascii="Times New Roman" w:hAnsi="Times New Roman" w:cs="Times New Roman"/>
          <w:sz w:val="24"/>
          <w:szCs w:val="24"/>
          <w:lang w:val="es-ES"/>
        </w:rPr>
        <w:t>microdatos</w:t>
      </w:r>
      <w:proofErr w:type="spellEnd"/>
      <w:r w:rsidRPr="002458B9">
        <w:rPr>
          <w:rFonts w:ascii="Times New Roman" w:hAnsi="Times New Roman" w:cs="Times New Roman"/>
          <w:sz w:val="24"/>
          <w:szCs w:val="24"/>
          <w:lang w:val="es-ES"/>
        </w:rPr>
        <w:t xml:space="preserve"> de las Encuestas de Presupuestos Familiares (EPF) del INE para el período 2006-2011 aplicando un sistema de demanda cuasi ideal. </w:t>
      </w:r>
    </w:p>
    <w:p w:rsidR="00652589" w:rsidRPr="002458B9" w:rsidRDefault="00652589" w:rsidP="002458B9">
      <w:pPr>
        <w:spacing w:before="120" w:after="120" w:line="360" w:lineRule="auto"/>
        <w:jc w:val="both"/>
        <w:rPr>
          <w:rFonts w:ascii="Times New Roman" w:hAnsi="Times New Roman" w:cs="Times New Roman"/>
          <w:sz w:val="24"/>
          <w:szCs w:val="24"/>
          <w:lang w:val="es-ES"/>
        </w:rPr>
      </w:pPr>
      <w:r w:rsidRPr="002458B9">
        <w:rPr>
          <w:rFonts w:ascii="Times New Roman" w:hAnsi="Times New Roman" w:cs="Times New Roman"/>
          <w:sz w:val="24"/>
          <w:szCs w:val="24"/>
          <w:lang w:val="es-ES"/>
        </w:rPr>
        <w:t>Analizando pros y contras de las metodologías propuestas, optamos por aplicar la primera de las antes citadas, aunque somos conscientes de sus limitaciones. A nuestro entender, los ICV propuestos por Rubiera et al (2013) adolecen de un problema importante de cobertura ya que, por limitaciones de la información proporcionada por las EPF, sólo abarcan los consumos de alimentación (lo que significa no más de un 25% del consumo de los hogares</w:t>
      </w:r>
      <w:r w:rsidR="00A1688E" w:rsidRPr="002458B9">
        <w:rPr>
          <w:rFonts w:ascii="Times New Roman" w:hAnsi="Times New Roman" w:cs="Times New Roman"/>
          <w:sz w:val="24"/>
          <w:szCs w:val="24"/>
          <w:lang w:val="es-ES"/>
        </w:rPr>
        <w:t>, según reconocen los propios autores</w:t>
      </w:r>
      <w:r w:rsidRPr="002458B9">
        <w:rPr>
          <w:rFonts w:ascii="Times New Roman" w:hAnsi="Times New Roman" w:cs="Times New Roman"/>
          <w:sz w:val="24"/>
          <w:szCs w:val="24"/>
          <w:lang w:val="es-ES"/>
        </w:rPr>
        <w:t xml:space="preserve">). Por su parte, la obtención de índices PPA con base a la encuesta de precios regionales de 1989, actualizados a través de los IPC regionales, tampoco está libre de </w:t>
      </w:r>
      <w:r w:rsidR="001545F1" w:rsidRPr="002458B9">
        <w:rPr>
          <w:rFonts w:ascii="Times New Roman" w:hAnsi="Times New Roman" w:cs="Times New Roman"/>
          <w:sz w:val="24"/>
          <w:szCs w:val="24"/>
          <w:lang w:val="es-ES"/>
        </w:rPr>
        <w:t>deficiencias</w:t>
      </w:r>
      <w:r w:rsidRPr="002458B9">
        <w:rPr>
          <w:rFonts w:ascii="Times New Roman" w:hAnsi="Times New Roman" w:cs="Times New Roman"/>
          <w:sz w:val="24"/>
          <w:szCs w:val="24"/>
          <w:lang w:val="es-ES"/>
        </w:rPr>
        <w:t xml:space="preserve">. A nuestro </w:t>
      </w:r>
      <w:r w:rsidR="001545F1" w:rsidRPr="002458B9">
        <w:rPr>
          <w:rFonts w:ascii="Times New Roman" w:hAnsi="Times New Roman" w:cs="Times New Roman"/>
          <w:sz w:val="24"/>
          <w:szCs w:val="24"/>
          <w:lang w:val="es-ES"/>
        </w:rPr>
        <w:t xml:space="preserve">entender, el principal problema tiene que ver con </w:t>
      </w:r>
      <w:r w:rsidR="00FC14BC" w:rsidRPr="002458B9">
        <w:rPr>
          <w:rFonts w:ascii="Times New Roman" w:hAnsi="Times New Roman" w:cs="Times New Roman"/>
          <w:sz w:val="24"/>
          <w:szCs w:val="24"/>
          <w:lang w:val="es-ES"/>
        </w:rPr>
        <w:t xml:space="preserve">la variación a lo largo del tiempo de </w:t>
      </w:r>
      <w:r w:rsidRPr="002458B9">
        <w:rPr>
          <w:rFonts w:ascii="Times New Roman" w:hAnsi="Times New Roman" w:cs="Times New Roman"/>
          <w:sz w:val="24"/>
          <w:szCs w:val="24"/>
          <w:lang w:val="es-ES"/>
        </w:rPr>
        <w:t>las estructuras regionales de consumo</w:t>
      </w:r>
      <w:r w:rsidR="001545F1" w:rsidRPr="002458B9">
        <w:rPr>
          <w:rFonts w:ascii="Times New Roman" w:hAnsi="Times New Roman" w:cs="Times New Roman"/>
          <w:sz w:val="24"/>
          <w:szCs w:val="24"/>
          <w:lang w:val="es-ES"/>
        </w:rPr>
        <w:t xml:space="preserve">, </w:t>
      </w:r>
      <w:r w:rsidR="00FC14BC" w:rsidRPr="002458B9">
        <w:rPr>
          <w:rFonts w:ascii="Times New Roman" w:hAnsi="Times New Roman" w:cs="Times New Roman"/>
          <w:sz w:val="24"/>
          <w:szCs w:val="24"/>
          <w:lang w:val="es-ES"/>
        </w:rPr>
        <w:t xml:space="preserve">en especial, cuando presentan evoluciones diferentes en las </w:t>
      </w:r>
      <w:r w:rsidR="00F70691" w:rsidRPr="002458B9">
        <w:rPr>
          <w:rFonts w:ascii="Times New Roman" w:hAnsi="Times New Roman" w:cs="Times New Roman"/>
          <w:sz w:val="24"/>
          <w:szCs w:val="24"/>
          <w:lang w:val="es-ES"/>
        </w:rPr>
        <w:t xml:space="preserve">distintas </w:t>
      </w:r>
      <w:r w:rsidR="001545F1" w:rsidRPr="002458B9">
        <w:rPr>
          <w:rFonts w:ascii="Times New Roman" w:hAnsi="Times New Roman" w:cs="Times New Roman"/>
          <w:sz w:val="24"/>
          <w:szCs w:val="24"/>
          <w:lang w:val="es-ES"/>
        </w:rPr>
        <w:t>comunidades autónomas, aspecto que sería necesario analizar más a fondo.</w:t>
      </w:r>
      <w:r w:rsidRPr="002458B9">
        <w:rPr>
          <w:rFonts w:ascii="Times New Roman" w:hAnsi="Times New Roman" w:cs="Times New Roman"/>
          <w:sz w:val="24"/>
          <w:szCs w:val="24"/>
          <w:lang w:val="es-ES"/>
        </w:rPr>
        <w:t xml:space="preserve"> </w:t>
      </w:r>
    </w:p>
    <w:p w:rsidR="00652589" w:rsidRPr="002458B9" w:rsidRDefault="00652589" w:rsidP="002458B9">
      <w:pPr>
        <w:spacing w:before="120" w:after="120" w:line="360" w:lineRule="auto"/>
        <w:jc w:val="both"/>
        <w:rPr>
          <w:rFonts w:ascii="Times New Roman" w:hAnsi="Times New Roman" w:cs="Times New Roman"/>
          <w:sz w:val="24"/>
          <w:szCs w:val="24"/>
          <w:lang w:val="es-ES"/>
        </w:rPr>
      </w:pPr>
      <w:r w:rsidRPr="002458B9">
        <w:rPr>
          <w:rFonts w:ascii="Times New Roman" w:hAnsi="Times New Roman" w:cs="Times New Roman"/>
          <w:sz w:val="24"/>
          <w:szCs w:val="24"/>
          <w:lang w:val="es-ES"/>
        </w:rPr>
        <w:t xml:space="preserve">Así pues, las paridades que utilizamos en este trabajo para homogeneizar el poder de compra de los ingresos en las distintas regiones las hemos construido a partir de las PPA del año 1989 (López y </w:t>
      </w:r>
      <w:proofErr w:type="spellStart"/>
      <w:r w:rsidRPr="002458B9">
        <w:rPr>
          <w:rFonts w:ascii="Times New Roman" w:hAnsi="Times New Roman" w:cs="Times New Roman"/>
          <w:sz w:val="24"/>
          <w:szCs w:val="24"/>
          <w:lang w:val="es-ES"/>
        </w:rPr>
        <w:t>Padró</w:t>
      </w:r>
      <w:proofErr w:type="spellEnd"/>
      <w:r w:rsidRPr="002458B9">
        <w:rPr>
          <w:rFonts w:ascii="Times New Roman" w:hAnsi="Times New Roman" w:cs="Times New Roman"/>
          <w:sz w:val="24"/>
          <w:szCs w:val="24"/>
          <w:lang w:val="es-ES"/>
        </w:rPr>
        <w:t>, 2000), actualizándolas a través de la evolución de los correspondientes IPC regionales respecto al estatal:</w:t>
      </w:r>
    </w:p>
    <w:p w:rsidR="00652589" w:rsidRPr="002458B9" w:rsidRDefault="005855A5" w:rsidP="002458B9">
      <w:pPr>
        <w:spacing w:before="120" w:after="120" w:line="360" w:lineRule="auto"/>
        <w:jc w:val="both"/>
        <w:rPr>
          <w:rFonts w:ascii="Times New Roman" w:hAnsi="Times New Roman" w:cs="Times New Roman"/>
          <w:sz w:val="24"/>
          <w:szCs w:val="24"/>
          <w:lang w:val="es-ES"/>
        </w:rPr>
      </w:pPr>
      <m:oMathPara>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PPA</m:t>
              </m:r>
            </m:e>
            <m:sub>
              <m:r>
                <w:rPr>
                  <w:rFonts w:ascii="Cambria Math" w:hAnsi="Cambria Math" w:cs="Times New Roman"/>
                  <w:sz w:val="24"/>
                  <w:szCs w:val="24"/>
                  <w:lang w:val="es-ES"/>
                </w:rPr>
                <m:t>E</m:t>
              </m:r>
            </m:sub>
            <m:sup>
              <m:r>
                <w:rPr>
                  <w:rFonts w:ascii="Cambria Math" w:hAnsi="Cambria Math" w:cs="Times New Roman"/>
                  <w:sz w:val="24"/>
                  <w:szCs w:val="24"/>
                  <w:lang w:val="es-ES"/>
                </w:rPr>
                <m:t>i</m:t>
              </m:r>
            </m:sup>
          </m:sSubSup>
          <m:r>
            <w:rPr>
              <w:rFonts w:ascii="Cambria Math" w:hAnsi="Cambria Math" w:cs="Times New Roman"/>
              <w:sz w:val="24"/>
              <w:szCs w:val="24"/>
              <w:lang w:val="es-ES"/>
            </w:rPr>
            <m:t xml:space="preserve">(t)= </m:t>
          </m:r>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PPA</m:t>
              </m:r>
            </m:e>
            <m:sub>
              <m:r>
                <w:rPr>
                  <w:rFonts w:ascii="Cambria Math" w:hAnsi="Cambria Math" w:cs="Times New Roman"/>
                  <w:sz w:val="24"/>
                  <w:szCs w:val="24"/>
                  <w:lang w:val="es-ES"/>
                </w:rPr>
                <m:t>E</m:t>
              </m:r>
            </m:sub>
            <m:sup>
              <m:r>
                <w:rPr>
                  <w:rFonts w:ascii="Cambria Math" w:hAnsi="Cambria Math" w:cs="Times New Roman"/>
                  <w:sz w:val="24"/>
                  <w:szCs w:val="24"/>
                  <w:lang w:val="es-ES"/>
                </w:rPr>
                <m:t>i</m:t>
              </m:r>
            </m:sup>
          </m:sSubSup>
          <m:r>
            <w:rPr>
              <w:rFonts w:ascii="Cambria Math" w:hAnsi="Cambria Math" w:cs="Times New Roman"/>
              <w:sz w:val="24"/>
              <w:szCs w:val="24"/>
              <w:lang w:val="es-ES"/>
            </w:rPr>
            <m:t>(89)*</m:t>
          </m:r>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IPC</m:t>
                  </m:r>
                </m:e>
                <m:sub>
                  <m:r>
                    <w:rPr>
                      <w:rFonts w:ascii="Cambria Math" w:hAnsi="Cambria Math" w:cs="Times New Roman"/>
                      <w:sz w:val="24"/>
                      <w:szCs w:val="24"/>
                      <w:lang w:val="es-ES"/>
                    </w:rPr>
                    <m:t>89</m:t>
                  </m:r>
                </m:sub>
                <m:sup>
                  <m:r>
                    <w:rPr>
                      <w:rFonts w:ascii="Cambria Math" w:hAnsi="Cambria Math" w:cs="Times New Roman"/>
                      <w:sz w:val="24"/>
                      <w:szCs w:val="24"/>
                      <w:lang w:val="es-ES"/>
                    </w:rPr>
                    <m:t>t</m:t>
                  </m:r>
                </m:sup>
              </m:sSubSup>
              <m:r>
                <w:rPr>
                  <w:rFonts w:ascii="Cambria Math" w:hAnsi="Cambria Math" w:cs="Times New Roman"/>
                  <w:sz w:val="24"/>
                  <w:szCs w:val="24"/>
                  <w:lang w:val="es-ES"/>
                </w:rPr>
                <m:t>(i)</m:t>
              </m:r>
            </m:num>
            <m:den>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IPC</m:t>
                  </m:r>
                </m:e>
                <m:sub>
                  <m:r>
                    <w:rPr>
                      <w:rFonts w:ascii="Cambria Math" w:hAnsi="Cambria Math" w:cs="Times New Roman"/>
                      <w:sz w:val="24"/>
                      <w:szCs w:val="24"/>
                      <w:lang w:val="es-ES"/>
                    </w:rPr>
                    <m:t>89</m:t>
                  </m:r>
                </m:sub>
                <m:sup>
                  <m:r>
                    <w:rPr>
                      <w:rFonts w:ascii="Cambria Math" w:hAnsi="Cambria Math" w:cs="Times New Roman"/>
                      <w:sz w:val="24"/>
                      <w:szCs w:val="24"/>
                      <w:lang w:val="es-ES"/>
                    </w:rPr>
                    <m:t>t</m:t>
                  </m:r>
                </m:sup>
              </m:sSubSup>
              <m:r>
                <w:rPr>
                  <w:rFonts w:ascii="Cambria Math" w:hAnsi="Cambria Math" w:cs="Times New Roman"/>
                  <w:sz w:val="24"/>
                  <w:szCs w:val="24"/>
                  <w:lang w:val="es-ES"/>
                </w:rPr>
                <m:t>(E)</m:t>
              </m:r>
            </m:den>
          </m:f>
        </m:oMath>
      </m:oMathPara>
    </w:p>
    <w:p w:rsidR="00652589" w:rsidRPr="002458B9" w:rsidRDefault="00652589" w:rsidP="002458B9">
      <w:pPr>
        <w:spacing w:before="120" w:after="120" w:line="360" w:lineRule="auto"/>
        <w:jc w:val="both"/>
        <w:rPr>
          <w:rFonts w:ascii="Times New Roman" w:eastAsiaTheme="minorEastAsia" w:hAnsi="Times New Roman" w:cs="Times New Roman"/>
          <w:sz w:val="24"/>
          <w:szCs w:val="24"/>
          <w:lang w:val="es-ES"/>
        </w:rPr>
      </w:pPr>
      <w:r w:rsidRPr="002458B9">
        <w:rPr>
          <w:rFonts w:ascii="Times New Roman" w:hAnsi="Times New Roman" w:cs="Times New Roman"/>
          <w:sz w:val="24"/>
          <w:szCs w:val="24"/>
          <w:lang w:val="es-ES"/>
        </w:rPr>
        <w:t xml:space="preserve"> </w:t>
      </w:r>
      <w:proofErr w:type="gramStart"/>
      <w:r w:rsidR="00823799" w:rsidRPr="002458B9">
        <w:rPr>
          <w:rFonts w:ascii="Times New Roman" w:hAnsi="Times New Roman" w:cs="Times New Roman"/>
          <w:sz w:val="24"/>
          <w:szCs w:val="24"/>
          <w:lang w:val="es-ES"/>
        </w:rPr>
        <w:t>d</w:t>
      </w:r>
      <w:r w:rsidRPr="002458B9">
        <w:rPr>
          <w:rFonts w:ascii="Times New Roman" w:hAnsi="Times New Roman" w:cs="Times New Roman"/>
          <w:sz w:val="24"/>
          <w:szCs w:val="24"/>
          <w:lang w:val="es-ES"/>
        </w:rPr>
        <w:t>onde</w:t>
      </w:r>
      <w:proofErr w:type="gramEnd"/>
      <w:r w:rsidRPr="002458B9">
        <w:rPr>
          <w:rFonts w:ascii="Times New Roman" w:hAnsi="Times New Roman" w:cs="Times New Roman"/>
          <w:sz w:val="24"/>
          <w:szCs w:val="24"/>
          <w:lang w:val="es-ES"/>
        </w:rPr>
        <w:t xml:space="preserve"> </w:t>
      </w: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PPA</m:t>
            </m:r>
          </m:e>
          <m:sub>
            <m:r>
              <w:rPr>
                <w:rFonts w:ascii="Cambria Math" w:hAnsi="Cambria Math" w:cs="Times New Roman"/>
                <w:sz w:val="24"/>
                <w:szCs w:val="24"/>
                <w:lang w:val="es-ES"/>
              </w:rPr>
              <m:t>E</m:t>
            </m:r>
          </m:sub>
          <m:sup>
            <m:r>
              <w:rPr>
                <w:rFonts w:ascii="Cambria Math" w:hAnsi="Cambria Math" w:cs="Times New Roman"/>
                <w:sz w:val="24"/>
                <w:szCs w:val="24"/>
                <w:lang w:val="es-ES"/>
              </w:rPr>
              <m:t>i</m:t>
            </m:r>
          </m:sup>
        </m:sSubSup>
        <m:d>
          <m:dPr>
            <m:ctrlPr>
              <w:rPr>
                <w:rFonts w:ascii="Cambria Math" w:hAnsi="Cambria Math" w:cs="Times New Roman"/>
                <w:i/>
                <w:sz w:val="24"/>
                <w:szCs w:val="24"/>
                <w:lang w:val="es-ES"/>
              </w:rPr>
            </m:ctrlPr>
          </m:dPr>
          <m:e>
            <m:r>
              <w:rPr>
                <w:rFonts w:ascii="Cambria Math" w:hAnsi="Cambria Math" w:cs="Times New Roman"/>
                <w:sz w:val="24"/>
                <w:szCs w:val="24"/>
                <w:lang w:val="es-ES"/>
              </w:rPr>
              <m:t>t</m:t>
            </m:r>
          </m:e>
        </m:d>
      </m:oMath>
      <w:r w:rsidR="00823799" w:rsidRPr="002458B9">
        <w:rPr>
          <w:rFonts w:ascii="Times New Roman" w:eastAsiaTheme="minorEastAsia" w:hAnsi="Times New Roman" w:cs="Times New Roman"/>
          <w:sz w:val="24"/>
          <w:szCs w:val="24"/>
          <w:lang w:val="es-ES"/>
        </w:rPr>
        <w:t xml:space="preserve"> </w:t>
      </w:r>
      <w:r w:rsidR="00F615B0" w:rsidRPr="002458B9">
        <w:rPr>
          <w:rFonts w:ascii="Times New Roman" w:eastAsiaTheme="minorEastAsia" w:hAnsi="Times New Roman" w:cs="Times New Roman"/>
          <w:sz w:val="24"/>
          <w:szCs w:val="24"/>
          <w:lang w:val="es-ES"/>
        </w:rPr>
        <w:t>y</w:t>
      </w:r>
      <w:r w:rsidR="00823799" w:rsidRPr="002458B9">
        <w:rPr>
          <w:rFonts w:ascii="Times New Roman" w:eastAsiaTheme="minorEastAsia" w:hAnsi="Times New Roman" w:cs="Times New Roman"/>
          <w:sz w:val="24"/>
          <w:szCs w:val="24"/>
          <w:lang w:val="es-ES"/>
        </w:rPr>
        <w:t xml:space="preserve"> </w:t>
      </w: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PPA</m:t>
            </m:r>
          </m:e>
          <m:sub>
            <m:r>
              <w:rPr>
                <w:rFonts w:ascii="Cambria Math" w:hAnsi="Cambria Math" w:cs="Times New Roman"/>
                <w:sz w:val="24"/>
                <w:szCs w:val="24"/>
                <w:lang w:val="es-ES"/>
              </w:rPr>
              <m:t>E</m:t>
            </m:r>
          </m:sub>
          <m:sup>
            <m:r>
              <w:rPr>
                <w:rFonts w:ascii="Cambria Math" w:hAnsi="Cambria Math" w:cs="Times New Roman"/>
                <w:sz w:val="24"/>
                <w:szCs w:val="24"/>
                <w:lang w:val="es-ES"/>
              </w:rPr>
              <m:t>i</m:t>
            </m:r>
          </m:sup>
        </m:sSubSup>
        <m:r>
          <w:rPr>
            <w:rFonts w:ascii="Cambria Math" w:hAnsi="Cambria Math" w:cs="Times New Roman"/>
            <w:sz w:val="24"/>
            <w:szCs w:val="24"/>
            <w:lang w:val="es-ES"/>
          </w:rPr>
          <m:t xml:space="preserve">(89) </m:t>
        </m:r>
      </m:oMath>
      <w:r w:rsidR="00823799" w:rsidRPr="002458B9">
        <w:rPr>
          <w:rFonts w:ascii="Times New Roman" w:eastAsiaTheme="minorEastAsia" w:hAnsi="Times New Roman" w:cs="Times New Roman"/>
          <w:sz w:val="24"/>
          <w:szCs w:val="24"/>
          <w:lang w:val="es-ES"/>
        </w:rPr>
        <w:t xml:space="preserve"> son, respectivamente, la paridad de poder adquisitivo de la región i </w:t>
      </w:r>
      <w:r w:rsidR="00F615B0" w:rsidRPr="002458B9">
        <w:rPr>
          <w:rFonts w:ascii="Times New Roman" w:eastAsiaTheme="minorEastAsia" w:hAnsi="Times New Roman" w:cs="Times New Roman"/>
          <w:sz w:val="24"/>
          <w:szCs w:val="24"/>
          <w:lang w:val="es-ES"/>
        </w:rPr>
        <w:t xml:space="preserve">respecto a España </w:t>
      </w:r>
      <w:r w:rsidR="00823799" w:rsidRPr="002458B9">
        <w:rPr>
          <w:rFonts w:ascii="Times New Roman" w:eastAsiaTheme="minorEastAsia" w:hAnsi="Times New Roman" w:cs="Times New Roman"/>
          <w:sz w:val="24"/>
          <w:szCs w:val="24"/>
          <w:lang w:val="es-ES"/>
        </w:rPr>
        <w:t xml:space="preserve">en el año t y en el año 1989, y  </w:t>
      </w: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IPC</m:t>
            </m:r>
          </m:e>
          <m:sub>
            <m:r>
              <w:rPr>
                <w:rFonts w:ascii="Cambria Math" w:hAnsi="Cambria Math" w:cs="Times New Roman"/>
                <w:sz w:val="24"/>
                <w:szCs w:val="24"/>
                <w:lang w:val="es-ES"/>
              </w:rPr>
              <m:t>89</m:t>
            </m:r>
          </m:sub>
          <m:sup>
            <m:r>
              <w:rPr>
                <w:rFonts w:ascii="Cambria Math" w:hAnsi="Cambria Math" w:cs="Times New Roman"/>
                <w:sz w:val="24"/>
                <w:szCs w:val="24"/>
                <w:lang w:val="es-ES"/>
              </w:rPr>
              <m:t>t</m:t>
            </m:r>
          </m:sup>
        </m:sSubSup>
        <m:d>
          <m:dPr>
            <m:ctrlPr>
              <w:rPr>
                <w:rFonts w:ascii="Cambria Math" w:hAnsi="Cambria Math" w:cs="Times New Roman"/>
                <w:i/>
                <w:sz w:val="24"/>
                <w:szCs w:val="24"/>
                <w:lang w:val="es-ES"/>
              </w:rPr>
            </m:ctrlPr>
          </m:dPr>
          <m:e>
            <m:r>
              <w:rPr>
                <w:rFonts w:ascii="Cambria Math" w:hAnsi="Cambria Math" w:cs="Times New Roman"/>
                <w:sz w:val="24"/>
                <w:szCs w:val="24"/>
                <w:lang w:val="es-ES"/>
              </w:rPr>
              <m:t>i</m:t>
            </m:r>
          </m:e>
        </m:d>
        <m:r>
          <w:rPr>
            <w:rFonts w:ascii="Cambria Math" w:hAnsi="Cambria Math" w:cs="Times New Roman"/>
            <w:sz w:val="24"/>
            <w:szCs w:val="24"/>
            <w:lang w:val="es-ES"/>
          </w:rPr>
          <m:t xml:space="preserve"> </m:t>
        </m:r>
      </m:oMath>
      <w:r w:rsidR="00823799" w:rsidRPr="002458B9">
        <w:rPr>
          <w:rFonts w:ascii="Times New Roman" w:eastAsiaTheme="minorEastAsia" w:hAnsi="Times New Roman" w:cs="Times New Roman"/>
          <w:sz w:val="24"/>
          <w:szCs w:val="24"/>
          <w:lang w:val="es-ES"/>
        </w:rPr>
        <w:t xml:space="preserve"> y  </w:t>
      </w: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IPC</m:t>
            </m:r>
          </m:e>
          <m:sub>
            <m:r>
              <w:rPr>
                <w:rFonts w:ascii="Cambria Math" w:hAnsi="Cambria Math" w:cs="Times New Roman"/>
                <w:sz w:val="24"/>
                <w:szCs w:val="24"/>
                <w:lang w:val="es-ES"/>
              </w:rPr>
              <m:t>89</m:t>
            </m:r>
          </m:sub>
          <m:sup>
            <m:r>
              <w:rPr>
                <w:rFonts w:ascii="Cambria Math" w:hAnsi="Cambria Math" w:cs="Times New Roman"/>
                <w:sz w:val="24"/>
                <w:szCs w:val="24"/>
                <w:lang w:val="es-ES"/>
              </w:rPr>
              <m:t>t</m:t>
            </m:r>
          </m:sup>
        </m:sSubSup>
        <m:d>
          <m:dPr>
            <m:ctrlPr>
              <w:rPr>
                <w:rFonts w:ascii="Cambria Math" w:hAnsi="Cambria Math" w:cs="Times New Roman"/>
                <w:i/>
                <w:sz w:val="24"/>
                <w:szCs w:val="24"/>
                <w:lang w:val="es-ES"/>
              </w:rPr>
            </m:ctrlPr>
          </m:dPr>
          <m:e>
            <m:r>
              <w:rPr>
                <w:rFonts w:ascii="Cambria Math" w:hAnsi="Cambria Math" w:cs="Times New Roman"/>
                <w:sz w:val="24"/>
                <w:szCs w:val="24"/>
                <w:lang w:val="es-ES"/>
              </w:rPr>
              <m:t>E</m:t>
            </m:r>
          </m:e>
        </m:d>
      </m:oMath>
      <w:r w:rsidR="00823799" w:rsidRPr="002458B9">
        <w:rPr>
          <w:rFonts w:ascii="Times New Roman" w:eastAsiaTheme="minorEastAsia" w:hAnsi="Times New Roman" w:cs="Times New Roman"/>
          <w:sz w:val="24"/>
          <w:szCs w:val="24"/>
          <w:lang w:val="es-ES"/>
        </w:rPr>
        <w:t xml:space="preserve">  el índice de precios al consumidor </w:t>
      </w:r>
      <w:r w:rsidR="00F70691" w:rsidRPr="002458B9">
        <w:rPr>
          <w:rFonts w:ascii="Times New Roman" w:eastAsiaTheme="minorEastAsia" w:hAnsi="Times New Roman" w:cs="Times New Roman"/>
          <w:sz w:val="24"/>
          <w:szCs w:val="24"/>
          <w:lang w:val="es-ES"/>
        </w:rPr>
        <w:t>de</w:t>
      </w:r>
      <w:r w:rsidR="00823799" w:rsidRPr="002458B9">
        <w:rPr>
          <w:rFonts w:ascii="Times New Roman" w:eastAsiaTheme="minorEastAsia" w:hAnsi="Times New Roman" w:cs="Times New Roman"/>
          <w:sz w:val="24"/>
          <w:szCs w:val="24"/>
          <w:lang w:val="es-ES"/>
        </w:rPr>
        <w:t>l año t con base 1989 para la región i y para España.</w:t>
      </w:r>
    </w:p>
    <w:p w:rsidR="008D4AB0" w:rsidRPr="002458B9" w:rsidRDefault="008D4AB0" w:rsidP="002458B9">
      <w:pPr>
        <w:spacing w:before="120" w:after="120" w:line="360" w:lineRule="auto"/>
        <w:jc w:val="both"/>
        <w:rPr>
          <w:rFonts w:ascii="Times New Roman" w:hAnsi="Times New Roman" w:cs="Times New Roman"/>
          <w:sz w:val="24"/>
          <w:szCs w:val="24"/>
          <w:lang w:val="es-ES"/>
        </w:rPr>
      </w:pPr>
      <w:r w:rsidRPr="002458B9">
        <w:rPr>
          <w:rFonts w:ascii="Times New Roman" w:hAnsi="Times New Roman" w:cs="Times New Roman"/>
          <w:sz w:val="24"/>
          <w:szCs w:val="24"/>
          <w:lang w:val="es-ES"/>
        </w:rPr>
        <w:t xml:space="preserve">Como podemos observar en la tabla 1, en el período 2007-2011 el IPC muestra una subida de precios media del 9% en el conjunto español. Así mismo, las PPA regionales se mantienen relativamente estables en el tiempo, debido a que los IPC regionales no han evolucionado de forma muy dispar con el IPC estatal. Extremadura es la región donde llenar la cesta de la compra resulta más barato (cerca de un 14%) mientras que Navarra es la más cara (alrededor de un 13%) del territorio español. Estos datos de actualización de las PPA han sido comparados con los obtenidos en otros trabajos como Ayala (2005) y López y </w:t>
      </w:r>
      <w:proofErr w:type="spellStart"/>
      <w:r w:rsidRPr="002458B9">
        <w:rPr>
          <w:rFonts w:ascii="Times New Roman" w:hAnsi="Times New Roman" w:cs="Times New Roman"/>
          <w:sz w:val="24"/>
          <w:szCs w:val="24"/>
          <w:lang w:val="es-ES"/>
        </w:rPr>
        <w:t>Padró</w:t>
      </w:r>
      <w:proofErr w:type="spellEnd"/>
      <w:r w:rsidRPr="002458B9">
        <w:rPr>
          <w:rFonts w:ascii="Times New Roman" w:hAnsi="Times New Roman" w:cs="Times New Roman"/>
          <w:sz w:val="24"/>
          <w:szCs w:val="24"/>
          <w:lang w:val="es-ES"/>
        </w:rPr>
        <w:t xml:space="preserve"> (2000), observando que existe una alta concordancia tanto en los resultados como en las ordenaciones de las regiones en cuanto al coste de la vida, es decir, las regiones en las que la cesta de la compra es más barata (cara) son las mismas en los distintos trabajos revisados.</w:t>
      </w:r>
    </w:p>
    <w:p w:rsidR="0035562C" w:rsidRPr="002A1746" w:rsidRDefault="0035562C" w:rsidP="00796C9A">
      <w:pPr>
        <w:spacing w:before="120" w:after="6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Tabla 1: Paridades de Poder Adquisitivo regionales (España =100)</w:t>
      </w:r>
      <w:r w:rsidR="001433E1" w:rsidRPr="002A1746">
        <w:rPr>
          <w:rFonts w:ascii="Times New Roman" w:hAnsi="Times New Roman" w:cs="Times New Roman"/>
          <w:sz w:val="24"/>
          <w:szCs w:val="24"/>
          <w:lang w:val="es-ES"/>
        </w:rPr>
        <w:t xml:space="preserve"> e IPC español</w:t>
      </w:r>
      <w:r w:rsidRPr="002A1746">
        <w:rPr>
          <w:rFonts w:ascii="Times New Roman" w:hAnsi="Times New Roman" w:cs="Times New Roman"/>
          <w:sz w:val="24"/>
          <w:szCs w:val="24"/>
          <w:lang w:val="es-ES"/>
        </w:rPr>
        <w:t>.</w:t>
      </w:r>
    </w:p>
    <w:tbl>
      <w:tblPr>
        <w:tblW w:w="0" w:type="auto"/>
        <w:tblLook w:val="04A0" w:firstRow="1" w:lastRow="0" w:firstColumn="1" w:lastColumn="0" w:noHBand="0" w:noVBand="1"/>
      </w:tblPr>
      <w:tblGrid>
        <w:gridCol w:w="3082"/>
        <w:gridCol w:w="756"/>
        <w:gridCol w:w="876"/>
        <w:gridCol w:w="876"/>
        <w:gridCol w:w="876"/>
        <w:gridCol w:w="876"/>
        <w:gridCol w:w="876"/>
      </w:tblGrid>
      <w:tr w:rsidR="0035562C" w:rsidRPr="002A1746" w:rsidTr="00A77BD5">
        <w:trPr>
          <w:trHeight w:val="255"/>
        </w:trPr>
        <w:tc>
          <w:tcPr>
            <w:tcW w:w="0" w:type="auto"/>
            <w:tcBorders>
              <w:top w:val="single" w:sz="4" w:space="0" w:color="FFFFFF"/>
              <w:left w:val="single" w:sz="4" w:space="0" w:color="FFFFFF"/>
              <w:bottom w:val="single" w:sz="4" w:space="0" w:color="auto"/>
              <w:right w:val="single" w:sz="4" w:space="0" w:color="FFFFFF"/>
            </w:tcBorders>
            <w:shd w:val="clear" w:color="auto" w:fill="auto"/>
            <w:vAlign w:val="center"/>
            <w:hideMark/>
          </w:tcPr>
          <w:p w:rsidR="0035562C" w:rsidRPr="002A1746" w:rsidRDefault="0035562C" w:rsidP="00BF1733">
            <w:pPr>
              <w:spacing w:after="0" w:line="240" w:lineRule="auto"/>
              <w:jc w:val="center"/>
              <w:rPr>
                <w:rFonts w:ascii="Times New Roman" w:eastAsia="Times New Roman" w:hAnsi="Times New Roman" w:cs="Times New Roman"/>
                <w:bCs/>
                <w:color w:val="000000"/>
                <w:sz w:val="24"/>
                <w:szCs w:val="24"/>
                <w:lang w:val="es-ES" w:eastAsia="gl-ES"/>
              </w:rPr>
            </w:pPr>
          </w:p>
        </w:tc>
        <w:tc>
          <w:tcPr>
            <w:tcW w:w="0" w:type="auto"/>
            <w:tcBorders>
              <w:top w:val="single" w:sz="4" w:space="0" w:color="FFFFFF"/>
              <w:left w:val="nil"/>
              <w:bottom w:val="single" w:sz="4" w:space="0" w:color="auto"/>
              <w:right w:val="nil"/>
            </w:tcBorders>
          </w:tcPr>
          <w:p w:rsidR="0035562C" w:rsidRPr="002A1746" w:rsidRDefault="0035562C" w:rsidP="0035562C">
            <w:pPr>
              <w:spacing w:after="0" w:line="240" w:lineRule="auto"/>
              <w:jc w:val="center"/>
              <w:rPr>
                <w:rFonts w:ascii="Times New Roman" w:eastAsia="Times New Roman" w:hAnsi="Times New Roman" w:cs="Times New Roman"/>
                <w:bCs/>
                <w:color w:val="000000"/>
                <w:sz w:val="24"/>
                <w:szCs w:val="24"/>
                <w:lang w:val="es-ES" w:eastAsia="gl-ES"/>
              </w:rPr>
            </w:pPr>
            <w:r w:rsidRPr="002A1746">
              <w:rPr>
                <w:rFonts w:ascii="Times New Roman" w:eastAsia="Times New Roman" w:hAnsi="Times New Roman" w:cs="Times New Roman"/>
                <w:bCs/>
                <w:color w:val="000000"/>
                <w:sz w:val="24"/>
                <w:szCs w:val="24"/>
                <w:lang w:val="es-ES" w:eastAsia="gl-ES"/>
              </w:rPr>
              <w:t>1989</w:t>
            </w:r>
          </w:p>
        </w:tc>
        <w:tc>
          <w:tcPr>
            <w:tcW w:w="0" w:type="auto"/>
            <w:tcBorders>
              <w:top w:val="single" w:sz="4" w:space="0" w:color="FFFFFF"/>
              <w:left w:val="nil"/>
              <w:bottom w:val="single" w:sz="4" w:space="0" w:color="auto"/>
              <w:right w:val="single" w:sz="4" w:space="0" w:color="FFFFFF"/>
            </w:tcBorders>
            <w:shd w:val="clear" w:color="auto" w:fill="auto"/>
            <w:vAlign w:val="center"/>
            <w:hideMark/>
          </w:tcPr>
          <w:p w:rsidR="0035562C" w:rsidRPr="002A1746" w:rsidRDefault="0035562C" w:rsidP="00BF1733">
            <w:pPr>
              <w:spacing w:after="0" w:line="240" w:lineRule="auto"/>
              <w:jc w:val="center"/>
              <w:rPr>
                <w:rFonts w:ascii="Times New Roman" w:eastAsia="Times New Roman" w:hAnsi="Times New Roman" w:cs="Times New Roman"/>
                <w:bCs/>
                <w:color w:val="000000"/>
                <w:sz w:val="24"/>
                <w:szCs w:val="24"/>
                <w:lang w:val="es-ES" w:eastAsia="gl-ES"/>
              </w:rPr>
            </w:pPr>
            <w:r w:rsidRPr="002A1746">
              <w:rPr>
                <w:rFonts w:ascii="Times New Roman" w:eastAsia="Times New Roman" w:hAnsi="Times New Roman" w:cs="Times New Roman"/>
                <w:bCs/>
                <w:color w:val="000000"/>
                <w:sz w:val="24"/>
                <w:szCs w:val="24"/>
                <w:lang w:val="es-ES" w:eastAsia="gl-ES"/>
              </w:rPr>
              <w:t>2007</w:t>
            </w:r>
          </w:p>
        </w:tc>
        <w:tc>
          <w:tcPr>
            <w:tcW w:w="0" w:type="auto"/>
            <w:tcBorders>
              <w:top w:val="single" w:sz="4" w:space="0" w:color="FFFFFF"/>
              <w:left w:val="nil"/>
              <w:bottom w:val="single" w:sz="4" w:space="0" w:color="auto"/>
              <w:right w:val="single" w:sz="4" w:space="0" w:color="FFFFFF"/>
            </w:tcBorders>
            <w:shd w:val="clear" w:color="auto" w:fill="auto"/>
            <w:vAlign w:val="center"/>
            <w:hideMark/>
          </w:tcPr>
          <w:p w:rsidR="0035562C" w:rsidRPr="002A1746" w:rsidRDefault="0035562C" w:rsidP="00BF1733">
            <w:pPr>
              <w:spacing w:after="0" w:line="240" w:lineRule="auto"/>
              <w:jc w:val="center"/>
              <w:rPr>
                <w:rFonts w:ascii="Times New Roman" w:eastAsia="Times New Roman" w:hAnsi="Times New Roman" w:cs="Times New Roman"/>
                <w:bCs/>
                <w:color w:val="000000"/>
                <w:sz w:val="24"/>
                <w:szCs w:val="24"/>
                <w:lang w:val="es-ES" w:eastAsia="gl-ES"/>
              </w:rPr>
            </w:pPr>
            <w:r w:rsidRPr="002A1746">
              <w:rPr>
                <w:rFonts w:ascii="Times New Roman" w:eastAsia="Times New Roman" w:hAnsi="Times New Roman" w:cs="Times New Roman"/>
                <w:bCs/>
                <w:color w:val="000000"/>
                <w:sz w:val="24"/>
                <w:szCs w:val="24"/>
                <w:lang w:val="es-ES" w:eastAsia="gl-ES"/>
              </w:rPr>
              <w:t>2008</w:t>
            </w:r>
          </w:p>
        </w:tc>
        <w:tc>
          <w:tcPr>
            <w:tcW w:w="0" w:type="auto"/>
            <w:tcBorders>
              <w:top w:val="single" w:sz="4" w:space="0" w:color="FFFFFF"/>
              <w:left w:val="nil"/>
              <w:bottom w:val="single" w:sz="4" w:space="0" w:color="auto"/>
              <w:right w:val="single" w:sz="4" w:space="0" w:color="FFFFFF"/>
            </w:tcBorders>
            <w:shd w:val="clear" w:color="auto" w:fill="auto"/>
            <w:vAlign w:val="center"/>
            <w:hideMark/>
          </w:tcPr>
          <w:p w:rsidR="0035562C" w:rsidRPr="002A1746" w:rsidRDefault="0035562C" w:rsidP="00BF1733">
            <w:pPr>
              <w:spacing w:after="0" w:line="240" w:lineRule="auto"/>
              <w:jc w:val="center"/>
              <w:rPr>
                <w:rFonts w:ascii="Times New Roman" w:eastAsia="Times New Roman" w:hAnsi="Times New Roman" w:cs="Times New Roman"/>
                <w:bCs/>
                <w:color w:val="000000"/>
                <w:sz w:val="24"/>
                <w:szCs w:val="24"/>
                <w:lang w:val="es-ES" w:eastAsia="gl-ES"/>
              </w:rPr>
            </w:pPr>
            <w:r w:rsidRPr="002A1746">
              <w:rPr>
                <w:rFonts w:ascii="Times New Roman" w:eastAsia="Times New Roman" w:hAnsi="Times New Roman" w:cs="Times New Roman"/>
                <w:bCs/>
                <w:color w:val="000000"/>
                <w:sz w:val="24"/>
                <w:szCs w:val="24"/>
                <w:lang w:val="es-ES" w:eastAsia="gl-ES"/>
              </w:rPr>
              <w:t>2009</w:t>
            </w:r>
          </w:p>
        </w:tc>
        <w:tc>
          <w:tcPr>
            <w:tcW w:w="0" w:type="auto"/>
            <w:tcBorders>
              <w:top w:val="single" w:sz="4" w:space="0" w:color="FFFFFF"/>
              <w:left w:val="nil"/>
              <w:bottom w:val="single" w:sz="4" w:space="0" w:color="auto"/>
              <w:right w:val="single" w:sz="4" w:space="0" w:color="FFFFFF"/>
            </w:tcBorders>
            <w:shd w:val="clear" w:color="auto" w:fill="auto"/>
            <w:vAlign w:val="center"/>
            <w:hideMark/>
          </w:tcPr>
          <w:p w:rsidR="0035562C" w:rsidRPr="002A1746" w:rsidRDefault="0035562C" w:rsidP="00BF1733">
            <w:pPr>
              <w:spacing w:after="0" w:line="240" w:lineRule="auto"/>
              <w:jc w:val="center"/>
              <w:rPr>
                <w:rFonts w:ascii="Times New Roman" w:eastAsia="Times New Roman" w:hAnsi="Times New Roman" w:cs="Times New Roman"/>
                <w:bCs/>
                <w:color w:val="000000"/>
                <w:sz w:val="24"/>
                <w:szCs w:val="24"/>
                <w:lang w:val="es-ES" w:eastAsia="gl-ES"/>
              </w:rPr>
            </w:pPr>
            <w:r w:rsidRPr="002A1746">
              <w:rPr>
                <w:rFonts w:ascii="Times New Roman" w:eastAsia="Times New Roman" w:hAnsi="Times New Roman" w:cs="Times New Roman"/>
                <w:bCs/>
                <w:color w:val="000000"/>
                <w:sz w:val="24"/>
                <w:szCs w:val="24"/>
                <w:lang w:val="es-ES" w:eastAsia="gl-ES"/>
              </w:rPr>
              <w:t>2010</w:t>
            </w:r>
          </w:p>
        </w:tc>
        <w:tc>
          <w:tcPr>
            <w:tcW w:w="0" w:type="auto"/>
            <w:tcBorders>
              <w:top w:val="single" w:sz="4" w:space="0" w:color="FFFFFF"/>
              <w:left w:val="nil"/>
              <w:bottom w:val="single" w:sz="4" w:space="0" w:color="auto"/>
              <w:right w:val="single" w:sz="4" w:space="0" w:color="FFFFFF"/>
            </w:tcBorders>
            <w:shd w:val="clear" w:color="auto" w:fill="auto"/>
            <w:vAlign w:val="center"/>
            <w:hideMark/>
          </w:tcPr>
          <w:p w:rsidR="0035562C" w:rsidRPr="002A1746" w:rsidRDefault="0035562C" w:rsidP="00BF1733">
            <w:pPr>
              <w:spacing w:after="0" w:line="240" w:lineRule="auto"/>
              <w:jc w:val="center"/>
              <w:rPr>
                <w:rFonts w:ascii="Times New Roman" w:eastAsia="Times New Roman" w:hAnsi="Times New Roman" w:cs="Times New Roman"/>
                <w:bCs/>
                <w:color w:val="000000"/>
                <w:sz w:val="24"/>
                <w:szCs w:val="24"/>
                <w:lang w:val="es-ES" w:eastAsia="gl-ES"/>
              </w:rPr>
            </w:pPr>
            <w:r w:rsidRPr="002A1746">
              <w:rPr>
                <w:rFonts w:ascii="Times New Roman" w:eastAsia="Times New Roman" w:hAnsi="Times New Roman" w:cs="Times New Roman"/>
                <w:bCs/>
                <w:color w:val="000000"/>
                <w:sz w:val="24"/>
                <w:szCs w:val="24"/>
                <w:lang w:val="es-ES" w:eastAsia="gl-ES"/>
              </w:rPr>
              <w:t>2011</w:t>
            </w:r>
          </w:p>
        </w:tc>
      </w:tr>
      <w:tr w:rsidR="0035562C" w:rsidRPr="002A1746" w:rsidTr="00A77BD5">
        <w:trPr>
          <w:trHeight w:val="315"/>
        </w:trPr>
        <w:tc>
          <w:tcPr>
            <w:tcW w:w="0" w:type="auto"/>
            <w:tcBorders>
              <w:top w:val="single" w:sz="4" w:space="0" w:color="auto"/>
              <w:left w:val="nil"/>
              <w:bottom w:val="nil"/>
              <w:right w:val="nil"/>
            </w:tcBorders>
            <w:shd w:val="clear" w:color="auto" w:fill="auto"/>
            <w:noWrap/>
            <w:vAlign w:val="center"/>
          </w:tcPr>
          <w:p w:rsidR="0035562C" w:rsidRPr="002A1746" w:rsidRDefault="00BF1733"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PPA regionales</w:t>
            </w:r>
          </w:p>
        </w:tc>
        <w:tc>
          <w:tcPr>
            <w:tcW w:w="0" w:type="auto"/>
            <w:tcBorders>
              <w:top w:val="single" w:sz="4" w:space="0" w:color="auto"/>
              <w:left w:val="nil"/>
              <w:bottom w:val="nil"/>
              <w:right w:val="nil"/>
            </w:tcBorders>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p>
        </w:tc>
        <w:tc>
          <w:tcPr>
            <w:tcW w:w="0" w:type="auto"/>
            <w:tcBorders>
              <w:top w:val="single" w:sz="4" w:space="0" w:color="auto"/>
              <w:left w:val="nil"/>
              <w:bottom w:val="nil"/>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p>
        </w:tc>
        <w:tc>
          <w:tcPr>
            <w:tcW w:w="0" w:type="auto"/>
            <w:tcBorders>
              <w:top w:val="single" w:sz="4" w:space="0" w:color="auto"/>
              <w:left w:val="nil"/>
              <w:bottom w:val="nil"/>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p>
        </w:tc>
        <w:tc>
          <w:tcPr>
            <w:tcW w:w="0" w:type="auto"/>
            <w:tcBorders>
              <w:top w:val="single" w:sz="4" w:space="0" w:color="auto"/>
              <w:left w:val="nil"/>
              <w:bottom w:val="nil"/>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p>
        </w:tc>
        <w:tc>
          <w:tcPr>
            <w:tcW w:w="0" w:type="auto"/>
            <w:tcBorders>
              <w:top w:val="single" w:sz="4" w:space="0" w:color="auto"/>
              <w:left w:val="nil"/>
              <w:bottom w:val="nil"/>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p>
        </w:tc>
        <w:tc>
          <w:tcPr>
            <w:tcW w:w="0" w:type="auto"/>
            <w:tcBorders>
              <w:top w:val="single" w:sz="4" w:space="0" w:color="auto"/>
              <w:left w:val="nil"/>
              <w:bottom w:val="nil"/>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p>
        </w:tc>
      </w:tr>
      <w:tr w:rsidR="0035562C" w:rsidRPr="002A1746" w:rsidTr="00A77BD5">
        <w:trPr>
          <w:trHeight w:val="315"/>
        </w:trPr>
        <w:tc>
          <w:tcPr>
            <w:tcW w:w="0" w:type="auto"/>
            <w:tcBorders>
              <w:top w:val="single" w:sz="4" w:space="0" w:color="auto"/>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Navarra, Comunidad Foral de</w:t>
            </w:r>
          </w:p>
        </w:tc>
        <w:tc>
          <w:tcPr>
            <w:tcW w:w="0" w:type="auto"/>
            <w:tcBorders>
              <w:top w:val="single" w:sz="4" w:space="0" w:color="auto"/>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108,3</w:t>
            </w:r>
          </w:p>
        </w:tc>
        <w:tc>
          <w:tcPr>
            <w:tcW w:w="0" w:type="auto"/>
            <w:tcBorders>
              <w:top w:val="single" w:sz="4" w:space="0" w:color="auto"/>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113,56</w:t>
            </w:r>
          </w:p>
        </w:tc>
        <w:tc>
          <w:tcPr>
            <w:tcW w:w="0" w:type="auto"/>
            <w:tcBorders>
              <w:top w:val="single" w:sz="4" w:space="0" w:color="auto"/>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113,37</w:t>
            </w:r>
          </w:p>
        </w:tc>
        <w:tc>
          <w:tcPr>
            <w:tcW w:w="0" w:type="auto"/>
            <w:tcBorders>
              <w:top w:val="single" w:sz="4" w:space="0" w:color="auto"/>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113,04</w:t>
            </w:r>
          </w:p>
        </w:tc>
        <w:tc>
          <w:tcPr>
            <w:tcW w:w="0" w:type="auto"/>
            <w:tcBorders>
              <w:top w:val="single" w:sz="4" w:space="0" w:color="auto"/>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112,80</w:t>
            </w:r>
          </w:p>
        </w:tc>
        <w:tc>
          <w:tcPr>
            <w:tcW w:w="0" w:type="auto"/>
            <w:tcBorders>
              <w:top w:val="single" w:sz="4" w:space="0" w:color="auto"/>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112,79</w:t>
            </w:r>
          </w:p>
        </w:tc>
      </w:tr>
      <w:tr w:rsidR="0035562C" w:rsidRPr="002A1746" w:rsidTr="00A77BD5">
        <w:trPr>
          <w:trHeight w:val="315"/>
        </w:trPr>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Cataluña</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102,6</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108,76</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108,78</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109,27</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109,52</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109,58</w:t>
            </w:r>
          </w:p>
        </w:tc>
      </w:tr>
      <w:tr w:rsidR="0035562C" w:rsidRPr="002A1746" w:rsidTr="00A77BD5">
        <w:trPr>
          <w:trHeight w:val="315"/>
        </w:trPr>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País Vasco</w:t>
            </w:r>
          </w:p>
        </w:tc>
        <w:tc>
          <w:tcPr>
            <w:tcW w:w="0" w:type="auto"/>
            <w:tcBorders>
              <w:top w:val="nil"/>
              <w:left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105,2</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105,96</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105,99</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106,58</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106,46</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106,36</w:t>
            </w:r>
          </w:p>
        </w:tc>
      </w:tr>
      <w:tr w:rsidR="0035562C" w:rsidRPr="002A1746" w:rsidTr="00A77BD5">
        <w:trPr>
          <w:trHeight w:val="315"/>
        </w:trPr>
        <w:tc>
          <w:tcPr>
            <w:tcW w:w="0" w:type="auto"/>
            <w:tcBorders>
              <w:top w:val="nil"/>
              <w:left w:val="nil"/>
              <w:right w:val="nil"/>
            </w:tcBorders>
            <w:shd w:val="clear" w:color="auto" w:fill="auto"/>
            <w:noWrap/>
            <w:vAlign w:val="center"/>
            <w:hideMark/>
          </w:tcPr>
          <w:p w:rsidR="0035562C" w:rsidRPr="002A1746" w:rsidRDefault="0035562C" w:rsidP="00912C8A">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Balear</w:t>
            </w:r>
            <w:r w:rsidR="00912C8A">
              <w:rPr>
                <w:rFonts w:ascii="Times New Roman" w:eastAsia="Times New Roman" w:hAnsi="Times New Roman" w:cs="Times New Roman"/>
                <w:sz w:val="24"/>
                <w:szCs w:val="24"/>
                <w:lang w:val="es-ES" w:eastAsia="gl-ES"/>
              </w:rPr>
              <w:t>es, Isla</w:t>
            </w:r>
            <w:r w:rsidRPr="002A1746">
              <w:rPr>
                <w:rFonts w:ascii="Times New Roman" w:eastAsia="Times New Roman" w:hAnsi="Times New Roman" w:cs="Times New Roman"/>
                <w:sz w:val="24"/>
                <w:szCs w:val="24"/>
                <w:lang w:val="es-ES" w:eastAsia="gl-ES"/>
              </w:rPr>
              <w:t>s</w:t>
            </w:r>
          </w:p>
        </w:tc>
        <w:tc>
          <w:tcPr>
            <w:tcW w:w="0" w:type="auto"/>
            <w:tcBorders>
              <w:top w:val="nil"/>
              <w:left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106,5</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105,87</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105,62</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105,75</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105,64</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105,30</w:t>
            </w:r>
          </w:p>
        </w:tc>
      </w:tr>
      <w:tr w:rsidR="0035562C" w:rsidRPr="002A1746" w:rsidTr="00A77BD5">
        <w:trPr>
          <w:trHeight w:val="315"/>
        </w:trPr>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Rioja, La</w:t>
            </w:r>
          </w:p>
        </w:tc>
        <w:tc>
          <w:tcPr>
            <w:tcW w:w="0" w:type="auto"/>
            <w:tcBorders>
              <w:top w:val="nil"/>
              <w:left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98,2</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103,18</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103,20</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103,01</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102,88</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103,14</w:t>
            </w:r>
          </w:p>
        </w:tc>
      </w:tr>
      <w:tr w:rsidR="0035562C" w:rsidRPr="002A1746" w:rsidTr="00A77BD5">
        <w:trPr>
          <w:trHeight w:val="315"/>
        </w:trPr>
        <w:tc>
          <w:tcPr>
            <w:tcW w:w="0" w:type="auto"/>
            <w:tcBorders>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Murcia, Región de</w:t>
            </w:r>
          </w:p>
        </w:tc>
        <w:tc>
          <w:tcPr>
            <w:tcW w:w="0" w:type="auto"/>
            <w:tcBorders>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96,6</w:t>
            </w:r>
          </w:p>
        </w:tc>
        <w:tc>
          <w:tcPr>
            <w:tcW w:w="0" w:type="auto"/>
            <w:tcBorders>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100,36</w:t>
            </w:r>
          </w:p>
        </w:tc>
        <w:tc>
          <w:tcPr>
            <w:tcW w:w="0" w:type="auto"/>
            <w:tcBorders>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100,26</w:t>
            </w:r>
          </w:p>
        </w:tc>
        <w:tc>
          <w:tcPr>
            <w:tcW w:w="0" w:type="auto"/>
            <w:tcBorders>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99,93</w:t>
            </w:r>
          </w:p>
        </w:tc>
        <w:tc>
          <w:tcPr>
            <w:tcW w:w="0" w:type="auto"/>
            <w:tcBorders>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99,86</w:t>
            </w:r>
          </w:p>
        </w:tc>
        <w:tc>
          <w:tcPr>
            <w:tcW w:w="0" w:type="auto"/>
            <w:tcBorders>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99,78</w:t>
            </w:r>
          </w:p>
        </w:tc>
      </w:tr>
      <w:tr w:rsidR="0035562C" w:rsidRPr="002A1746" w:rsidTr="00A77BD5">
        <w:trPr>
          <w:trHeight w:val="315"/>
        </w:trPr>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Asturias, Principado de</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100,0</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100,27</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100,43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100,27</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100,43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100,77</w:t>
            </w:r>
          </w:p>
        </w:tc>
      </w:tr>
      <w:tr w:rsidR="0035562C" w:rsidRPr="002A1746" w:rsidTr="00A77BD5">
        <w:trPr>
          <w:trHeight w:val="315"/>
        </w:trPr>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Madrid, Comunidad de</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102,5</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100,05</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99,86</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100,09</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100,13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100,03</w:t>
            </w:r>
          </w:p>
        </w:tc>
      </w:tr>
      <w:tr w:rsidR="0035562C" w:rsidRPr="002A1746" w:rsidTr="00A77BD5">
        <w:trPr>
          <w:trHeight w:val="315"/>
        </w:trPr>
        <w:tc>
          <w:tcPr>
            <w:tcW w:w="0" w:type="auto"/>
            <w:tcBorders>
              <w:top w:val="nil"/>
              <w:left w:val="nil"/>
              <w:bottom w:val="nil"/>
              <w:right w:val="nil"/>
            </w:tcBorders>
            <w:shd w:val="clear" w:color="auto" w:fill="auto"/>
            <w:noWrap/>
            <w:vAlign w:val="center"/>
            <w:hideMark/>
          </w:tcPr>
          <w:p w:rsidR="0035562C" w:rsidRPr="002A1746" w:rsidRDefault="00912C8A" w:rsidP="00912C8A">
            <w:pPr>
              <w:spacing w:after="0" w:line="240" w:lineRule="auto"/>
              <w:rPr>
                <w:rFonts w:ascii="Times New Roman" w:eastAsia="Times New Roman" w:hAnsi="Times New Roman" w:cs="Times New Roman"/>
                <w:sz w:val="24"/>
                <w:szCs w:val="24"/>
                <w:lang w:val="es-ES" w:eastAsia="gl-ES"/>
              </w:rPr>
            </w:pPr>
            <w:r>
              <w:rPr>
                <w:rFonts w:ascii="Times New Roman" w:eastAsia="Times New Roman" w:hAnsi="Times New Roman" w:cs="Times New Roman"/>
                <w:sz w:val="24"/>
                <w:szCs w:val="24"/>
                <w:lang w:val="es-ES" w:eastAsia="gl-ES"/>
              </w:rPr>
              <w:t>Comunidad</w:t>
            </w:r>
            <w:r w:rsidR="0035562C" w:rsidRPr="002A1746">
              <w:rPr>
                <w:rFonts w:ascii="Times New Roman" w:eastAsia="Times New Roman" w:hAnsi="Times New Roman" w:cs="Times New Roman"/>
                <w:sz w:val="24"/>
                <w:szCs w:val="24"/>
                <w:lang w:val="es-ES" w:eastAsia="gl-ES"/>
              </w:rPr>
              <w:t xml:space="preserve"> Valenciana</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100,8</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98,92</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98,86</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98,91</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98,73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98,63</w:t>
            </w:r>
          </w:p>
        </w:tc>
      </w:tr>
      <w:tr w:rsidR="0035562C" w:rsidRPr="002A1746" w:rsidTr="00A77BD5">
        <w:trPr>
          <w:trHeight w:val="315"/>
        </w:trPr>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Galicia</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99,3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98,62</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98,75</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98,45</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98,53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98,70</w:t>
            </w:r>
          </w:p>
        </w:tc>
      </w:tr>
      <w:tr w:rsidR="0035562C" w:rsidRPr="002A1746" w:rsidTr="00A77BD5">
        <w:trPr>
          <w:trHeight w:val="315"/>
        </w:trPr>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Cantabria</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101,3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98,43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98,67</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98,63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98,71</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98,91</w:t>
            </w:r>
          </w:p>
        </w:tc>
      </w:tr>
      <w:tr w:rsidR="0035562C" w:rsidRPr="002A1746" w:rsidTr="00A77BD5">
        <w:trPr>
          <w:trHeight w:val="315"/>
        </w:trPr>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Aragón</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97,6</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96,82</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97,15</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97,04</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97,04</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97,01</w:t>
            </w:r>
          </w:p>
        </w:tc>
      </w:tr>
      <w:tr w:rsidR="0035562C" w:rsidRPr="002A1746" w:rsidTr="00A77BD5">
        <w:trPr>
          <w:trHeight w:val="255"/>
        </w:trPr>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Andalucía</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98,0</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96,14</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96,08</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95,91</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95,90</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95,93</w:t>
            </w:r>
          </w:p>
        </w:tc>
      </w:tr>
      <w:tr w:rsidR="0035562C" w:rsidRPr="002A1746" w:rsidTr="00A77BD5">
        <w:trPr>
          <w:trHeight w:val="315"/>
        </w:trPr>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Castilla y León</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97,9</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95,56</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95,69</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95,28</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95,37</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95,61</w:t>
            </w:r>
          </w:p>
        </w:tc>
      </w:tr>
      <w:tr w:rsidR="0035562C" w:rsidRPr="002A1746" w:rsidTr="00A77BD5">
        <w:trPr>
          <w:trHeight w:val="315"/>
        </w:trPr>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Canarias</w:t>
            </w:r>
          </w:p>
        </w:tc>
        <w:tc>
          <w:tcPr>
            <w:tcW w:w="0" w:type="auto"/>
            <w:tcBorders>
              <w:top w:val="nil"/>
              <w:left w:val="nil"/>
              <w:bottom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98,3</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94,05</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94,36</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93,67</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92,91</w:t>
            </w:r>
          </w:p>
        </w:tc>
        <w:tc>
          <w:tcPr>
            <w:tcW w:w="0" w:type="auto"/>
            <w:tcBorders>
              <w:top w:val="nil"/>
              <w:left w:val="nil"/>
              <w:bottom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92,37</w:t>
            </w:r>
          </w:p>
        </w:tc>
      </w:tr>
      <w:tr w:rsidR="0035562C" w:rsidRPr="002A1746" w:rsidTr="00A77BD5">
        <w:trPr>
          <w:trHeight w:val="315"/>
        </w:trPr>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Castilla - La Mancha</w:t>
            </w:r>
          </w:p>
        </w:tc>
        <w:tc>
          <w:tcPr>
            <w:tcW w:w="0" w:type="auto"/>
            <w:tcBorders>
              <w:top w:val="nil"/>
              <w:left w:val="nil"/>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93,8</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92,58</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92,76</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91,96</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92,11</w:t>
            </w:r>
          </w:p>
        </w:tc>
        <w:tc>
          <w:tcPr>
            <w:tcW w:w="0" w:type="auto"/>
            <w:tcBorders>
              <w:top w:val="nil"/>
              <w:left w:val="nil"/>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92,52</w:t>
            </w:r>
          </w:p>
        </w:tc>
      </w:tr>
      <w:tr w:rsidR="0035562C" w:rsidRPr="002A1746" w:rsidTr="00A77BD5">
        <w:trPr>
          <w:trHeight w:val="315"/>
        </w:trPr>
        <w:tc>
          <w:tcPr>
            <w:tcW w:w="0" w:type="auto"/>
            <w:tcBorders>
              <w:top w:val="nil"/>
              <w:left w:val="nil"/>
              <w:bottom w:val="single" w:sz="4" w:space="0" w:color="auto"/>
              <w:right w:val="nil"/>
            </w:tcBorders>
            <w:shd w:val="clear" w:color="auto" w:fill="auto"/>
            <w:noWrap/>
            <w:vAlign w:val="center"/>
            <w:hideMark/>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Extremadura</w:t>
            </w:r>
          </w:p>
        </w:tc>
        <w:tc>
          <w:tcPr>
            <w:tcW w:w="0" w:type="auto"/>
            <w:tcBorders>
              <w:top w:val="nil"/>
              <w:left w:val="nil"/>
              <w:bottom w:val="single" w:sz="4" w:space="0" w:color="auto"/>
              <w:right w:val="nil"/>
            </w:tcBorders>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91,2</w:t>
            </w:r>
          </w:p>
        </w:tc>
        <w:tc>
          <w:tcPr>
            <w:tcW w:w="0" w:type="auto"/>
            <w:tcBorders>
              <w:top w:val="nil"/>
              <w:left w:val="nil"/>
              <w:bottom w:val="single" w:sz="4" w:space="0" w:color="auto"/>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87,04</w:t>
            </w:r>
          </w:p>
        </w:tc>
        <w:tc>
          <w:tcPr>
            <w:tcW w:w="0" w:type="auto"/>
            <w:tcBorders>
              <w:top w:val="nil"/>
              <w:left w:val="nil"/>
              <w:bottom w:val="single" w:sz="4" w:space="0" w:color="auto"/>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87,06</w:t>
            </w:r>
          </w:p>
        </w:tc>
        <w:tc>
          <w:tcPr>
            <w:tcW w:w="0" w:type="auto"/>
            <w:tcBorders>
              <w:top w:val="nil"/>
              <w:left w:val="nil"/>
              <w:bottom w:val="single" w:sz="4" w:space="0" w:color="auto"/>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86,91</w:t>
            </w:r>
          </w:p>
        </w:tc>
        <w:tc>
          <w:tcPr>
            <w:tcW w:w="0" w:type="auto"/>
            <w:tcBorders>
              <w:top w:val="nil"/>
              <w:left w:val="nil"/>
              <w:bottom w:val="single" w:sz="4" w:space="0" w:color="auto"/>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86,85</w:t>
            </w:r>
          </w:p>
        </w:tc>
        <w:tc>
          <w:tcPr>
            <w:tcW w:w="0" w:type="auto"/>
            <w:tcBorders>
              <w:top w:val="nil"/>
              <w:left w:val="nil"/>
              <w:bottom w:val="single" w:sz="4" w:space="0" w:color="auto"/>
              <w:right w:val="nil"/>
            </w:tcBorders>
            <w:shd w:val="clear" w:color="auto" w:fill="auto"/>
            <w:noWrap/>
            <w:vAlign w:val="center"/>
            <w:hideMark/>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86,88</w:t>
            </w:r>
          </w:p>
        </w:tc>
      </w:tr>
      <w:tr w:rsidR="0035562C" w:rsidRPr="002A1746" w:rsidTr="00A77BD5">
        <w:trPr>
          <w:trHeight w:val="315"/>
        </w:trPr>
        <w:tc>
          <w:tcPr>
            <w:tcW w:w="0" w:type="auto"/>
            <w:tcBorders>
              <w:top w:val="single" w:sz="4" w:space="0" w:color="auto"/>
              <w:left w:val="nil"/>
              <w:bottom w:val="single" w:sz="4" w:space="0" w:color="auto"/>
              <w:right w:val="nil"/>
            </w:tcBorders>
            <w:shd w:val="clear" w:color="auto" w:fill="auto"/>
            <w:noWrap/>
            <w:vAlign w:val="center"/>
          </w:tcPr>
          <w:p w:rsidR="0035562C" w:rsidRPr="002A1746" w:rsidRDefault="0035562C" w:rsidP="00BF1733">
            <w:pPr>
              <w:spacing w:after="0" w:line="240" w:lineRule="auto"/>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IPC (España)</w:t>
            </w:r>
          </w:p>
        </w:tc>
        <w:tc>
          <w:tcPr>
            <w:tcW w:w="0" w:type="auto"/>
            <w:tcBorders>
              <w:top w:val="single" w:sz="4" w:space="0" w:color="auto"/>
              <w:left w:val="nil"/>
              <w:bottom w:val="single" w:sz="4" w:space="0" w:color="auto"/>
              <w:right w:val="nil"/>
            </w:tcBorders>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p>
        </w:tc>
        <w:tc>
          <w:tcPr>
            <w:tcW w:w="0" w:type="auto"/>
            <w:tcBorders>
              <w:top w:val="single" w:sz="4" w:space="0" w:color="auto"/>
              <w:left w:val="nil"/>
              <w:bottom w:val="single" w:sz="4" w:space="0" w:color="auto"/>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100,00</w:t>
            </w:r>
          </w:p>
        </w:tc>
        <w:tc>
          <w:tcPr>
            <w:tcW w:w="0" w:type="auto"/>
            <w:tcBorders>
              <w:top w:val="single" w:sz="4" w:space="0" w:color="auto"/>
              <w:left w:val="nil"/>
              <w:bottom w:val="single" w:sz="4" w:space="0" w:color="auto"/>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104,08</w:t>
            </w:r>
          </w:p>
        </w:tc>
        <w:tc>
          <w:tcPr>
            <w:tcW w:w="0" w:type="auto"/>
            <w:tcBorders>
              <w:top w:val="single" w:sz="4" w:space="0" w:color="auto"/>
              <w:left w:val="nil"/>
              <w:bottom w:val="single" w:sz="4" w:space="0" w:color="auto"/>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103,78</w:t>
            </w:r>
          </w:p>
        </w:tc>
        <w:tc>
          <w:tcPr>
            <w:tcW w:w="0" w:type="auto"/>
            <w:tcBorders>
              <w:top w:val="single" w:sz="4" w:space="0" w:color="auto"/>
              <w:left w:val="nil"/>
              <w:bottom w:val="single" w:sz="4" w:space="0" w:color="auto"/>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105,64</w:t>
            </w:r>
          </w:p>
        </w:tc>
        <w:tc>
          <w:tcPr>
            <w:tcW w:w="0" w:type="auto"/>
            <w:tcBorders>
              <w:top w:val="single" w:sz="4" w:space="0" w:color="auto"/>
              <w:left w:val="nil"/>
              <w:bottom w:val="single" w:sz="4" w:space="0" w:color="auto"/>
              <w:right w:val="nil"/>
            </w:tcBorders>
            <w:shd w:val="clear" w:color="auto" w:fill="auto"/>
            <w:noWrap/>
            <w:vAlign w:val="center"/>
          </w:tcPr>
          <w:p w:rsidR="0035562C" w:rsidRPr="002A1746" w:rsidRDefault="0035562C" w:rsidP="00BF1733">
            <w:pPr>
              <w:spacing w:after="0" w:line="240" w:lineRule="auto"/>
              <w:jc w:val="center"/>
              <w:rPr>
                <w:rFonts w:ascii="Times New Roman" w:eastAsia="Times New Roman" w:hAnsi="Times New Roman" w:cs="Times New Roman"/>
                <w:sz w:val="24"/>
                <w:szCs w:val="24"/>
                <w:lang w:val="es-ES" w:eastAsia="gl-ES"/>
              </w:rPr>
            </w:pPr>
            <w:r w:rsidRPr="002A1746">
              <w:rPr>
                <w:rFonts w:ascii="Times New Roman" w:eastAsia="Times New Roman" w:hAnsi="Times New Roman" w:cs="Times New Roman"/>
                <w:sz w:val="24"/>
                <w:szCs w:val="24"/>
                <w:lang w:val="es-ES" w:eastAsia="gl-ES"/>
              </w:rPr>
              <w:t>109,02</w:t>
            </w:r>
          </w:p>
        </w:tc>
      </w:tr>
    </w:tbl>
    <w:p w:rsidR="0035562C" w:rsidRPr="002A1746" w:rsidRDefault="0035562C" w:rsidP="00796C9A">
      <w:pPr>
        <w:spacing w:before="60" w:after="120" w:line="360" w:lineRule="auto"/>
        <w:jc w:val="both"/>
        <w:rPr>
          <w:rFonts w:ascii="Times New Roman" w:hAnsi="Times New Roman" w:cs="Times New Roman"/>
          <w:sz w:val="18"/>
          <w:szCs w:val="24"/>
          <w:lang w:val="es-ES"/>
        </w:rPr>
      </w:pPr>
      <w:r w:rsidRPr="002A1746">
        <w:rPr>
          <w:rFonts w:ascii="Times New Roman" w:hAnsi="Times New Roman" w:cs="Times New Roman"/>
          <w:sz w:val="18"/>
          <w:szCs w:val="24"/>
          <w:lang w:val="es-ES"/>
        </w:rPr>
        <w:t xml:space="preserve">Fuente: </w:t>
      </w:r>
      <w:r w:rsidR="00491ABC" w:rsidRPr="00491ABC">
        <w:rPr>
          <w:rFonts w:ascii="Times New Roman" w:hAnsi="Times New Roman" w:cs="Times New Roman"/>
          <w:sz w:val="18"/>
          <w:szCs w:val="24"/>
          <w:lang w:val="es-ES"/>
        </w:rPr>
        <w:t xml:space="preserve">Elaboración propia a partir de IPC-INE  y  PPA de 1989 tomadas de López y </w:t>
      </w:r>
      <w:proofErr w:type="spellStart"/>
      <w:r w:rsidR="00491ABC" w:rsidRPr="00491ABC">
        <w:rPr>
          <w:rFonts w:ascii="Times New Roman" w:hAnsi="Times New Roman" w:cs="Times New Roman"/>
          <w:sz w:val="18"/>
          <w:szCs w:val="24"/>
          <w:lang w:val="es-ES"/>
        </w:rPr>
        <w:t>Padró</w:t>
      </w:r>
      <w:proofErr w:type="spellEnd"/>
      <w:r w:rsidR="00491ABC" w:rsidRPr="00491ABC">
        <w:rPr>
          <w:rFonts w:ascii="Times New Roman" w:hAnsi="Times New Roman" w:cs="Times New Roman"/>
          <w:sz w:val="18"/>
          <w:szCs w:val="24"/>
          <w:lang w:val="es-ES"/>
        </w:rPr>
        <w:t xml:space="preserve"> (2000).</w:t>
      </w:r>
    </w:p>
    <w:p w:rsidR="00652589" w:rsidRPr="00912C8A" w:rsidRDefault="00652589" w:rsidP="00796C9A">
      <w:pPr>
        <w:keepNext/>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lastRenderedPageBreak/>
        <w:t>FUENTE DE DATOS</w:t>
      </w:r>
    </w:p>
    <w:p w:rsidR="00652589" w:rsidRPr="00912C8A" w:rsidRDefault="00652589"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 xml:space="preserve">Los datos utilizados para realizar el análisis empírico son los </w:t>
      </w:r>
      <w:proofErr w:type="spellStart"/>
      <w:r w:rsidRPr="00912C8A">
        <w:rPr>
          <w:rFonts w:ascii="Times New Roman" w:hAnsi="Times New Roman" w:cs="Times New Roman"/>
          <w:sz w:val="24"/>
          <w:szCs w:val="24"/>
          <w:lang w:val="es-ES"/>
        </w:rPr>
        <w:t>microdatos</w:t>
      </w:r>
      <w:proofErr w:type="spellEnd"/>
      <w:r w:rsidRPr="00912C8A">
        <w:rPr>
          <w:rFonts w:ascii="Times New Roman" w:hAnsi="Times New Roman" w:cs="Times New Roman"/>
          <w:sz w:val="24"/>
          <w:szCs w:val="24"/>
          <w:lang w:val="es-ES"/>
        </w:rPr>
        <w:t xml:space="preserve"> de la Encuesta de Condiciones de Vida (ECV) que elabora el Instituto Nacional de Estadística (INE). La ECV, recoge información tanto de los ingresos de las personas como de los hogares, diferenciando por fuentes de renta, así como por características sociodemográficas y geográficas. Las olas empleadas, 2008 a 2012, contienen datos de renta referidos a los años naturales inmediatamente anteriores, 2007 y 2011 respectivamente.</w:t>
      </w:r>
      <w:r w:rsidRPr="00912C8A">
        <w:rPr>
          <w:rStyle w:val="Refdenotaalpie"/>
          <w:rFonts w:ascii="Times New Roman" w:hAnsi="Times New Roman" w:cs="Times New Roman"/>
          <w:sz w:val="24"/>
          <w:szCs w:val="24"/>
          <w:lang w:val="es-ES"/>
        </w:rPr>
        <w:footnoteReference w:id="2"/>
      </w:r>
      <w:r w:rsidRPr="00912C8A">
        <w:rPr>
          <w:rFonts w:ascii="Times New Roman" w:hAnsi="Times New Roman" w:cs="Times New Roman"/>
          <w:sz w:val="24"/>
          <w:szCs w:val="24"/>
          <w:lang w:val="es-ES"/>
        </w:rPr>
        <w:t xml:space="preserve"> En cuanto a la representatividad de los datos </w:t>
      </w:r>
      <w:proofErr w:type="spellStart"/>
      <w:r w:rsidRPr="00912C8A">
        <w:rPr>
          <w:rFonts w:ascii="Times New Roman" w:hAnsi="Times New Roman" w:cs="Times New Roman"/>
          <w:sz w:val="24"/>
          <w:szCs w:val="24"/>
          <w:lang w:val="es-ES"/>
        </w:rPr>
        <w:t>muestrales</w:t>
      </w:r>
      <w:proofErr w:type="spellEnd"/>
      <w:r w:rsidRPr="00912C8A">
        <w:rPr>
          <w:rFonts w:ascii="Times New Roman" w:hAnsi="Times New Roman" w:cs="Times New Roman"/>
          <w:sz w:val="24"/>
          <w:szCs w:val="24"/>
          <w:lang w:val="es-ES"/>
        </w:rPr>
        <w:t xml:space="preserve">, para considerarlos extensibles a la población (aplicando el factor de elevación poblacional), indicar que cada ola tiene un tamaño de la muestra de más de treinta mil personas, y que el tamaño </w:t>
      </w:r>
      <w:proofErr w:type="spellStart"/>
      <w:r w:rsidRPr="00912C8A">
        <w:rPr>
          <w:rFonts w:ascii="Times New Roman" w:hAnsi="Times New Roman" w:cs="Times New Roman"/>
          <w:sz w:val="24"/>
          <w:szCs w:val="24"/>
          <w:lang w:val="es-ES"/>
        </w:rPr>
        <w:t>muestral</w:t>
      </w:r>
      <w:proofErr w:type="spellEnd"/>
      <w:r w:rsidRPr="00912C8A">
        <w:rPr>
          <w:rFonts w:ascii="Times New Roman" w:hAnsi="Times New Roman" w:cs="Times New Roman"/>
          <w:sz w:val="24"/>
          <w:szCs w:val="24"/>
          <w:lang w:val="es-ES"/>
        </w:rPr>
        <w:t xml:space="preserve"> para cualquiera de los subgrupos resultantes de las clasificaciones manejadas es suficiente para considerar que no existen problemas de representatividad en los resultados proporcionados. </w:t>
      </w:r>
      <w:r w:rsidR="00491ABC" w:rsidRPr="00912C8A">
        <w:rPr>
          <w:rFonts w:ascii="Times New Roman" w:hAnsi="Times New Roman" w:cs="Times New Roman"/>
          <w:sz w:val="24"/>
          <w:szCs w:val="24"/>
          <w:lang w:val="es-ES"/>
        </w:rPr>
        <w:t xml:space="preserve">Para elevar los datos </w:t>
      </w:r>
      <w:proofErr w:type="spellStart"/>
      <w:r w:rsidR="00491ABC" w:rsidRPr="00912C8A">
        <w:rPr>
          <w:rFonts w:ascii="Times New Roman" w:hAnsi="Times New Roman" w:cs="Times New Roman"/>
          <w:sz w:val="24"/>
          <w:szCs w:val="24"/>
          <w:lang w:val="es-ES"/>
        </w:rPr>
        <w:t>muestrales</w:t>
      </w:r>
      <w:proofErr w:type="spellEnd"/>
      <w:r w:rsidR="00491ABC" w:rsidRPr="00912C8A">
        <w:rPr>
          <w:rFonts w:ascii="Times New Roman" w:hAnsi="Times New Roman" w:cs="Times New Roman"/>
          <w:sz w:val="24"/>
          <w:szCs w:val="24"/>
          <w:lang w:val="es-ES"/>
        </w:rPr>
        <w:t xml:space="preserve"> al total de la población, aplicamos a cada individuo de la muestra el factor de elevación “peso transversal de la persona” (RB050) facilitado en la propia ECV.</w:t>
      </w:r>
    </w:p>
    <w:p w:rsidR="00A54883" w:rsidRPr="00912C8A" w:rsidRDefault="00652589"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 xml:space="preserve">VARIABLES </w:t>
      </w:r>
    </w:p>
    <w:p w:rsidR="00206969" w:rsidRPr="00912C8A" w:rsidRDefault="00652589"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O</w:t>
      </w:r>
      <w:r w:rsidR="00C242BC" w:rsidRPr="00912C8A">
        <w:rPr>
          <w:rFonts w:ascii="Times New Roman" w:hAnsi="Times New Roman" w:cs="Times New Roman"/>
          <w:sz w:val="24"/>
          <w:szCs w:val="24"/>
          <w:lang w:val="es-ES"/>
        </w:rPr>
        <w:t>pta</w:t>
      </w:r>
      <w:r w:rsidR="0054458C" w:rsidRPr="00912C8A">
        <w:rPr>
          <w:rFonts w:ascii="Times New Roman" w:hAnsi="Times New Roman" w:cs="Times New Roman"/>
          <w:sz w:val="24"/>
          <w:szCs w:val="24"/>
          <w:lang w:val="es-ES"/>
        </w:rPr>
        <w:t>mos por analizar la pobreza en la distribución personal de ingresos, tanto por ser el ingreso una componente de peso en aquellos conceptos más complejos y difíciles de medir</w:t>
      </w:r>
      <w:r w:rsidR="009D480A" w:rsidRPr="00912C8A">
        <w:rPr>
          <w:rFonts w:ascii="Times New Roman" w:hAnsi="Times New Roman" w:cs="Times New Roman"/>
          <w:sz w:val="24"/>
          <w:szCs w:val="24"/>
          <w:lang w:val="es-ES"/>
        </w:rPr>
        <w:t xml:space="preserve"> (bienestar, capacidades,</w:t>
      </w:r>
      <w:r w:rsidR="00502B66" w:rsidRPr="00912C8A">
        <w:rPr>
          <w:rFonts w:ascii="Times New Roman" w:hAnsi="Times New Roman" w:cs="Times New Roman"/>
          <w:sz w:val="24"/>
          <w:szCs w:val="24"/>
          <w:lang w:val="es-ES"/>
        </w:rPr>
        <w:t>…)</w:t>
      </w:r>
      <w:r w:rsidR="0054458C" w:rsidRPr="00912C8A">
        <w:rPr>
          <w:rFonts w:ascii="Times New Roman" w:hAnsi="Times New Roman" w:cs="Times New Roman"/>
          <w:sz w:val="24"/>
          <w:szCs w:val="24"/>
          <w:lang w:val="es-ES"/>
        </w:rPr>
        <w:t>, como por ser una buena “proxy” de la capacidad económica del hogar y de los individuos que lo constituyen. Pensando en su capacidad de generar bienestar, consideramos adecuado transformar los ingresos disponibles de los hogares a través de alguna escala de equiva</w:t>
      </w:r>
      <w:r w:rsidR="001C67E1" w:rsidRPr="00912C8A">
        <w:rPr>
          <w:rFonts w:ascii="Times New Roman" w:hAnsi="Times New Roman" w:cs="Times New Roman"/>
          <w:sz w:val="24"/>
          <w:szCs w:val="24"/>
          <w:lang w:val="es-ES"/>
        </w:rPr>
        <w:t>lencia que tenga en cuenta</w:t>
      </w:r>
      <w:r w:rsidR="0054458C" w:rsidRPr="00912C8A">
        <w:rPr>
          <w:rFonts w:ascii="Times New Roman" w:hAnsi="Times New Roman" w:cs="Times New Roman"/>
          <w:sz w:val="24"/>
          <w:szCs w:val="24"/>
          <w:lang w:val="es-ES"/>
        </w:rPr>
        <w:t xml:space="preserve"> el tamaño </w:t>
      </w:r>
      <w:r w:rsidR="00B638B7" w:rsidRPr="00912C8A">
        <w:rPr>
          <w:rFonts w:ascii="Times New Roman" w:hAnsi="Times New Roman" w:cs="Times New Roman"/>
          <w:sz w:val="24"/>
          <w:szCs w:val="24"/>
          <w:lang w:val="es-ES"/>
        </w:rPr>
        <w:t>y</w:t>
      </w:r>
      <w:r w:rsidR="0054458C" w:rsidRPr="00912C8A">
        <w:rPr>
          <w:rFonts w:ascii="Times New Roman" w:hAnsi="Times New Roman" w:cs="Times New Roman"/>
          <w:sz w:val="24"/>
          <w:szCs w:val="24"/>
          <w:lang w:val="es-ES"/>
        </w:rPr>
        <w:t xml:space="preserve"> las economías de escala de los hogares. Así pues, </w:t>
      </w:r>
      <w:r w:rsidR="00B03C33" w:rsidRPr="00912C8A">
        <w:rPr>
          <w:rFonts w:ascii="Times New Roman" w:hAnsi="Times New Roman" w:cs="Times New Roman"/>
          <w:sz w:val="24"/>
          <w:szCs w:val="24"/>
          <w:lang w:val="es-ES"/>
        </w:rPr>
        <w:t xml:space="preserve">tomamos como </w:t>
      </w:r>
      <w:r w:rsidR="0054458C" w:rsidRPr="00912C8A">
        <w:rPr>
          <w:rFonts w:ascii="Times New Roman" w:hAnsi="Times New Roman" w:cs="Times New Roman"/>
          <w:sz w:val="24"/>
          <w:szCs w:val="24"/>
          <w:lang w:val="es-ES"/>
        </w:rPr>
        <w:t>variable clave el ingreso disponible</w:t>
      </w:r>
      <w:r w:rsidR="00B03C33" w:rsidRPr="00912C8A">
        <w:rPr>
          <w:rFonts w:ascii="Times New Roman" w:hAnsi="Times New Roman" w:cs="Times New Roman"/>
          <w:sz w:val="24"/>
          <w:szCs w:val="24"/>
          <w:lang w:val="es-ES"/>
        </w:rPr>
        <w:t xml:space="preserve"> total</w:t>
      </w:r>
      <w:r w:rsidR="0073550E" w:rsidRPr="00912C8A">
        <w:rPr>
          <w:rFonts w:ascii="Times New Roman" w:hAnsi="Times New Roman" w:cs="Times New Roman"/>
          <w:sz w:val="24"/>
          <w:szCs w:val="24"/>
          <w:lang w:val="es-ES"/>
        </w:rPr>
        <w:t xml:space="preserve"> del hogar</w:t>
      </w:r>
      <w:r w:rsidR="0054458C" w:rsidRPr="00912C8A">
        <w:rPr>
          <w:rFonts w:ascii="Times New Roman" w:hAnsi="Times New Roman" w:cs="Times New Roman"/>
          <w:sz w:val="24"/>
          <w:szCs w:val="24"/>
          <w:lang w:val="es-ES"/>
        </w:rPr>
        <w:t xml:space="preserve"> </w:t>
      </w:r>
      <w:r w:rsidR="009436F8" w:rsidRPr="00912C8A">
        <w:rPr>
          <w:rFonts w:ascii="Times New Roman" w:hAnsi="Times New Roman" w:cs="Times New Roman"/>
          <w:sz w:val="24"/>
          <w:szCs w:val="24"/>
          <w:lang w:val="es-ES"/>
        </w:rPr>
        <w:t xml:space="preserve">por adulto </w:t>
      </w:r>
      <w:r w:rsidR="0054458C" w:rsidRPr="00912C8A">
        <w:rPr>
          <w:rFonts w:ascii="Times New Roman" w:hAnsi="Times New Roman" w:cs="Times New Roman"/>
          <w:sz w:val="24"/>
          <w:szCs w:val="24"/>
          <w:lang w:val="es-ES"/>
        </w:rPr>
        <w:t>equivalente</w:t>
      </w:r>
      <w:r w:rsidR="00B03C33" w:rsidRPr="00912C8A">
        <w:rPr>
          <w:rFonts w:ascii="Times New Roman" w:hAnsi="Times New Roman" w:cs="Times New Roman"/>
          <w:sz w:val="24"/>
          <w:szCs w:val="24"/>
          <w:lang w:val="es-ES"/>
        </w:rPr>
        <w:t xml:space="preserve"> (en adelante IDE)</w:t>
      </w:r>
      <w:r w:rsidR="0054458C" w:rsidRPr="00912C8A">
        <w:rPr>
          <w:rFonts w:ascii="Times New Roman" w:hAnsi="Times New Roman" w:cs="Times New Roman"/>
          <w:sz w:val="24"/>
          <w:szCs w:val="24"/>
          <w:lang w:val="es-ES"/>
        </w:rPr>
        <w:t>, aplicando la escala de equivalencia de la OCDE modificada</w:t>
      </w:r>
      <w:r w:rsidR="0054458C" w:rsidRPr="00912C8A">
        <w:rPr>
          <w:rStyle w:val="Refdenotaalpie"/>
          <w:rFonts w:ascii="Times New Roman" w:hAnsi="Times New Roman" w:cs="Times New Roman"/>
          <w:sz w:val="24"/>
          <w:szCs w:val="24"/>
          <w:lang w:val="es-ES"/>
        </w:rPr>
        <w:footnoteReference w:id="3"/>
      </w:r>
      <w:r w:rsidR="0054458C" w:rsidRPr="00912C8A">
        <w:rPr>
          <w:rFonts w:ascii="Times New Roman" w:hAnsi="Times New Roman" w:cs="Times New Roman"/>
          <w:sz w:val="24"/>
          <w:szCs w:val="24"/>
          <w:lang w:val="es-ES"/>
        </w:rPr>
        <w:t xml:space="preserve">. Además </w:t>
      </w:r>
      <w:r w:rsidR="00206969" w:rsidRPr="00912C8A">
        <w:rPr>
          <w:rFonts w:ascii="Times New Roman" w:hAnsi="Times New Roman" w:cs="Times New Roman"/>
          <w:sz w:val="24"/>
          <w:szCs w:val="24"/>
          <w:lang w:val="es-ES"/>
        </w:rPr>
        <w:t xml:space="preserve">del </w:t>
      </w:r>
      <w:r w:rsidR="00C242BC" w:rsidRPr="00912C8A">
        <w:rPr>
          <w:rFonts w:ascii="Times New Roman" w:hAnsi="Times New Roman" w:cs="Times New Roman"/>
          <w:sz w:val="24"/>
          <w:szCs w:val="24"/>
          <w:lang w:val="es-ES"/>
        </w:rPr>
        <w:t>IDE</w:t>
      </w:r>
      <w:r w:rsidR="0054458C" w:rsidRPr="00912C8A">
        <w:rPr>
          <w:rFonts w:ascii="Times New Roman" w:hAnsi="Times New Roman" w:cs="Times New Roman"/>
          <w:sz w:val="24"/>
          <w:szCs w:val="24"/>
          <w:lang w:val="es-ES"/>
        </w:rPr>
        <w:t xml:space="preserve">, hemos </w:t>
      </w:r>
      <w:r w:rsidR="00092F25" w:rsidRPr="00912C8A">
        <w:rPr>
          <w:rFonts w:ascii="Times New Roman" w:hAnsi="Times New Roman" w:cs="Times New Roman"/>
          <w:sz w:val="24"/>
          <w:szCs w:val="24"/>
          <w:lang w:val="es-ES"/>
        </w:rPr>
        <w:t xml:space="preserve">elaborado </w:t>
      </w:r>
      <w:r w:rsidR="00A646E9" w:rsidRPr="00912C8A">
        <w:rPr>
          <w:rFonts w:ascii="Times New Roman" w:hAnsi="Times New Roman" w:cs="Times New Roman"/>
          <w:sz w:val="24"/>
          <w:szCs w:val="24"/>
          <w:lang w:val="es-ES"/>
        </w:rPr>
        <w:t>e</w:t>
      </w:r>
      <w:r w:rsidR="0054458C" w:rsidRPr="00912C8A">
        <w:rPr>
          <w:rFonts w:ascii="Times New Roman" w:hAnsi="Times New Roman" w:cs="Times New Roman"/>
          <w:sz w:val="24"/>
          <w:szCs w:val="24"/>
          <w:lang w:val="es-ES"/>
        </w:rPr>
        <w:t xml:space="preserve">l </w:t>
      </w:r>
      <w:r w:rsidR="0073550E" w:rsidRPr="00912C8A">
        <w:rPr>
          <w:rFonts w:ascii="Times New Roman" w:hAnsi="Times New Roman" w:cs="Times New Roman"/>
          <w:sz w:val="24"/>
          <w:szCs w:val="24"/>
          <w:lang w:val="es-ES"/>
        </w:rPr>
        <w:t xml:space="preserve">ingreso disponible </w:t>
      </w:r>
      <w:r w:rsidR="00B03C33" w:rsidRPr="00912C8A">
        <w:rPr>
          <w:rFonts w:ascii="Times New Roman" w:hAnsi="Times New Roman" w:cs="Times New Roman"/>
          <w:sz w:val="24"/>
          <w:szCs w:val="24"/>
          <w:lang w:val="es-ES"/>
        </w:rPr>
        <w:t xml:space="preserve">total </w:t>
      </w:r>
      <w:r w:rsidR="0073550E" w:rsidRPr="00912C8A">
        <w:rPr>
          <w:rFonts w:ascii="Times New Roman" w:hAnsi="Times New Roman" w:cs="Times New Roman"/>
          <w:sz w:val="24"/>
          <w:szCs w:val="24"/>
          <w:lang w:val="es-ES"/>
        </w:rPr>
        <w:t xml:space="preserve">del hogar por adulto equivalente </w:t>
      </w:r>
      <w:r w:rsidR="00B03C33" w:rsidRPr="00912C8A">
        <w:rPr>
          <w:rFonts w:ascii="Times New Roman" w:hAnsi="Times New Roman" w:cs="Times New Roman"/>
          <w:sz w:val="24"/>
          <w:szCs w:val="24"/>
          <w:lang w:val="es-ES"/>
        </w:rPr>
        <w:t xml:space="preserve">con alquiler </w:t>
      </w:r>
      <w:r w:rsidR="00092F25" w:rsidRPr="00912C8A">
        <w:rPr>
          <w:rFonts w:ascii="Times New Roman" w:hAnsi="Times New Roman" w:cs="Times New Roman"/>
          <w:sz w:val="24"/>
          <w:szCs w:val="24"/>
          <w:lang w:val="es-ES"/>
        </w:rPr>
        <w:t xml:space="preserve">y </w:t>
      </w:r>
      <w:r w:rsidR="00092F25" w:rsidRPr="00912C8A">
        <w:rPr>
          <w:rFonts w:ascii="Times New Roman" w:hAnsi="Times New Roman" w:cs="Times New Roman"/>
          <w:sz w:val="24"/>
          <w:szCs w:val="24"/>
          <w:lang w:val="es-ES"/>
        </w:rPr>
        <w:lastRenderedPageBreak/>
        <w:t>autoconsumo/</w:t>
      </w:r>
      <w:proofErr w:type="spellStart"/>
      <w:r w:rsidR="00092F25" w:rsidRPr="00912C8A">
        <w:rPr>
          <w:rFonts w:ascii="Times New Roman" w:hAnsi="Times New Roman" w:cs="Times New Roman"/>
          <w:sz w:val="24"/>
          <w:szCs w:val="24"/>
          <w:lang w:val="es-ES"/>
        </w:rPr>
        <w:t>autosuministro</w:t>
      </w:r>
      <w:proofErr w:type="spellEnd"/>
      <w:r w:rsidR="00092F25" w:rsidRPr="00912C8A">
        <w:rPr>
          <w:rFonts w:ascii="Times New Roman" w:hAnsi="Times New Roman" w:cs="Times New Roman"/>
          <w:sz w:val="24"/>
          <w:szCs w:val="24"/>
          <w:lang w:val="es-ES"/>
        </w:rPr>
        <w:t xml:space="preserve"> </w:t>
      </w:r>
      <w:r w:rsidR="0054458C" w:rsidRPr="00912C8A">
        <w:rPr>
          <w:rFonts w:ascii="Times New Roman" w:hAnsi="Times New Roman" w:cs="Times New Roman"/>
          <w:sz w:val="24"/>
          <w:szCs w:val="24"/>
          <w:lang w:val="es-ES"/>
        </w:rPr>
        <w:t>imputado</w:t>
      </w:r>
      <w:r w:rsidR="00092F25" w:rsidRPr="00912C8A">
        <w:rPr>
          <w:rFonts w:ascii="Times New Roman" w:hAnsi="Times New Roman" w:cs="Times New Roman"/>
          <w:sz w:val="24"/>
          <w:szCs w:val="24"/>
          <w:lang w:val="es-ES"/>
        </w:rPr>
        <w:t>s</w:t>
      </w:r>
      <w:r w:rsidR="0054458C" w:rsidRPr="00912C8A">
        <w:rPr>
          <w:rFonts w:ascii="Times New Roman" w:hAnsi="Times New Roman" w:cs="Times New Roman"/>
          <w:i/>
          <w:sz w:val="24"/>
          <w:szCs w:val="24"/>
          <w:lang w:val="es-ES"/>
        </w:rPr>
        <w:t xml:space="preserve"> </w:t>
      </w:r>
      <w:r w:rsidR="00092F25" w:rsidRPr="00912C8A">
        <w:rPr>
          <w:rFonts w:ascii="Times New Roman" w:hAnsi="Times New Roman" w:cs="Times New Roman"/>
          <w:sz w:val="24"/>
          <w:szCs w:val="24"/>
          <w:lang w:val="es-ES"/>
        </w:rPr>
        <w:t>(IDEI</w:t>
      </w:r>
      <w:r w:rsidR="0054458C" w:rsidRPr="00912C8A">
        <w:rPr>
          <w:rFonts w:ascii="Times New Roman" w:hAnsi="Times New Roman" w:cs="Times New Roman"/>
          <w:sz w:val="24"/>
          <w:szCs w:val="24"/>
          <w:lang w:val="es-ES"/>
        </w:rPr>
        <w:t>),</w:t>
      </w:r>
      <w:r w:rsidR="00B03C33" w:rsidRPr="00912C8A">
        <w:rPr>
          <w:rFonts w:ascii="Times New Roman" w:hAnsi="Times New Roman" w:cs="Times New Roman"/>
          <w:sz w:val="24"/>
          <w:szCs w:val="24"/>
          <w:lang w:val="es-ES"/>
        </w:rPr>
        <w:t xml:space="preserve"> con </w:t>
      </w:r>
      <w:r w:rsidR="00C242BC" w:rsidRPr="00912C8A">
        <w:rPr>
          <w:rFonts w:ascii="Times New Roman" w:hAnsi="Times New Roman" w:cs="Times New Roman"/>
          <w:sz w:val="24"/>
          <w:szCs w:val="24"/>
          <w:lang w:val="es-ES"/>
        </w:rPr>
        <w:t>el</w:t>
      </w:r>
      <w:r w:rsidR="00B03C33" w:rsidRPr="00912C8A">
        <w:rPr>
          <w:rFonts w:ascii="Times New Roman" w:hAnsi="Times New Roman" w:cs="Times New Roman"/>
          <w:sz w:val="24"/>
          <w:szCs w:val="24"/>
          <w:lang w:val="es-ES"/>
        </w:rPr>
        <w:t xml:space="preserve"> que</w:t>
      </w:r>
      <w:r w:rsidR="0054458C" w:rsidRPr="00912C8A">
        <w:rPr>
          <w:rFonts w:ascii="Times New Roman" w:hAnsi="Times New Roman" w:cs="Times New Roman"/>
          <w:sz w:val="24"/>
          <w:szCs w:val="24"/>
          <w:lang w:val="es-ES"/>
        </w:rPr>
        <w:t xml:space="preserve"> se pretende analizar el efecto distributivo que supone el ahorro por tener vivienda en propiedad o con un precio de alquiler inferior al de mercado</w:t>
      </w:r>
      <w:r w:rsidR="00754E86" w:rsidRPr="00912C8A">
        <w:rPr>
          <w:rFonts w:ascii="Times New Roman" w:hAnsi="Times New Roman" w:cs="Times New Roman"/>
          <w:sz w:val="24"/>
          <w:szCs w:val="24"/>
          <w:lang w:val="es-ES"/>
        </w:rPr>
        <w:t xml:space="preserve">, </w:t>
      </w:r>
      <w:r w:rsidR="003B7EB7" w:rsidRPr="00912C8A">
        <w:rPr>
          <w:rFonts w:ascii="Times New Roman" w:hAnsi="Times New Roman" w:cs="Times New Roman"/>
          <w:sz w:val="24"/>
          <w:szCs w:val="24"/>
          <w:lang w:val="es-ES"/>
        </w:rPr>
        <w:t>además</w:t>
      </w:r>
      <w:r w:rsidR="00754E86" w:rsidRPr="00912C8A">
        <w:rPr>
          <w:rFonts w:ascii="Times New Roman" w:hAnsi="Times New Roman" w:cs="Times New Roman"/>
          <w:sz w:val="24"/>
          <w:szCs w:val="24"/>
          <w:lang w:val="es-ES"/>
        </w:rPr>
        <w:t xml:space="preserve"> de tener en cuenta lo que los hogares</w:t>
      </w:r>
      <w:r w:rsidR="0073550E" w:rsidRPr="00912C8A">
        <w:rPr>
          <w:rFonts w:ascii="Times New Roman" w:hAnsi="Times New Roman" w:cs="Times New Roman"/>
          <w:sz w:val="24"/>
          <w:szCs w:val="24"/>
          <w:lang w:val="es-ES"/>
        </w:rPr>
        <w:t xml:space="preserve"> consumen de su propia producción o suministro</w:t>
      </w:r>
      <w:r w:rsidR="00BF1733" w:rsidRPr="00912C8A">
        <w:rPr>
          <w:rFonts w:ascii="Times New Roman" w:hAnsi="Times New Roman" w:cs="Times New Roman"/>
          <w:sz w:val="24"/>
          <w:szCs w:val="24"/>
          <w:lang w:val="es-ES"/>
        </w:rPr>
        <w:t>.</w:t>
      </w:r>
      <w:r w:rsidR="00092F25" w:rsidRPr="00912C8A">
        <w:rPr>
          <w:rFonts w:ascii="Times New Roman" w:hAnsi="Times New Roman" w:cs="Times New Roman"/>
          <w:sz w:val="24"/>
          <w:szCs w:val="24"/>
          <w:lang w:val="es-ES"/>
        </w:rPr>
        <w:t xml:space="preserve"> </w:t>
      </w:r>
    </w:p>
    <w:p w:rsidR="0041370B" w:rsidRPr="00912C8A" w:rsidRDefault="00206969"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Tanto el IDE como el ID</w:t>
      </w:r>
      <w:r w:rsidR="003A4FDA" w:rsidRPr="00912C8A">
        <w:rPr>
          <w:rFonts w:ascii="Times New Roman" w:hAnsi="Times New Roman" w:cs="Times New Roman"/>
          <w:sz w:val="24"/>
          <w:szCs w:val="24"/>
          <w:lang w:val="es-ES"/>
        </w:rPr>
        <w:t xml:space="preserve">EI </w:t>
      </w:r>
      <w:r w:rsidR="00C242BC" w:rsidRPr="00912C8A">
        <w:rPr>
          <w:rFonts w:ascii="Times New Roman" w:hAnsi="Times New Roman" w:cs="Times New Roman"/>
          <w:sz w:val="24"/>
          <w:szCs w:val="24"/>
          <w:lang w:val="es-ES"/>
        </w:rPr>
        <w:t xml:space="preserve">son variables expresadas en euros corrientes de cada año, por lo que </w:t>
      </w:r>
      <w:r w:rsidR="00A646E9" w:rsidRPr="00912C8A">
        <w:rPr>
          <w:rFonts w:ascii="Times New Roman" w:hAnsi="Times New Roman" w:cs="Times New Roman"/>
          <w:sz w:val="24"/>
          <w:szCs w:val="24"/>
          <w:lang w:val="es-ES"/>
        </w:rPr>
        <w:t xml:space="preserve">no </w:t>
      </w:r>
      <w:r w:rsidR="003A4FDA" w:rsidRPr="00912C8A">
        <w:rPr>
          <w:rFonts w:ascii="Times New Roman" w:hAnsi="Times New Roman" w:cs="Times New Roman"/>
          <w:sz w:val="24"/>
          <w:szCs w:val="24"/>
          <w:lang w:val="es-ES"/>
        </w:rPr>
        <w:t xml:space="preserve">permiten comparaciones homogéneas </w:t>
      </w:r>
      <w:r w:rsidR="00DC6E46" w:rsidRPr="00912C8A">
        <w:rPr>
          <w:rFonts w:ascii="Times New Roman" w:hAnsi="Times New Roman" w:cs="Times New Roman"/>
          <w:sz w:val="24"/>
          <w:szCs w:val="24"/>
          <w:lang w:val="es-ES"/>
        </w:rPr>
        <w:t>en términos reales,</w:t>
      </w:r>
      <w:r w:rsidR="00D009B4" w:rsidRPr="00912C8A">
        <w:rPr>
          <w:rFonts w:ascii="Times New Roman" w:hAnsi="Times New Roman" w:cs="Times New Roman"/>
          <w:sz w:val="24"/>
          <w:szCs w:val="24"/>
          <w:lang w:val="es-ES"/>
        </w:rPr>
        <w:t xml:space="preserve"> en el espacio </w:t>
      </w:r>
      <w:r w:rsidR="001461DF" w:rsidRPr="00912C8A">
        <w:rPr>
          <w:rFonts w:ascii="Times New Roman" w:hAnsi="Times New Roman" w:cs="Times New Roman"/>
          <w:sz w:val="24"/>
          <w:szCs w:val="24"/>
          <w:lang w:val="es-ES"/>
        </w:rPr>
        <w:t>y/</w:t>
      </w:r>
      <w:r w:rsidR="00D009B4" w:rsidRPr="00912C8A">
        <w:rPr>
          <w:rFonts w:ascii="Times New Roman" w:hAnsi="Times New Roman" w:cs="Times New Roman"/>
          <w:sz w:val="24"/>
          <w:szCs w:val="24"/>
          <w:lang w:val="es-ES"/>
        </w:rPr>
        <w:t>o en el tiempo</w:t>
      </w:r>
      <w:r w:rsidR="00DC6E46" w:rsidRPr="00912C8A">
        <w:rPr>
          <w:rFonts w:ascii="Times New Roman" w:hAnsi="Times New Roman" w:cs="Times New Roman"/>
          <w:sz w:val="24"/>
          <w:szCs w:val="24"/>
          <w:lang w:val="es-ES"/>
        </w:rPr>
        <w:t xml:space="preserve">, </w:t>
      </w:r>
      <w:r w:rsidR="00A646E9" w:rsidRPr="00912C8A">
        <w:rPr>
          <w:rFonts w:ascii="Times New Roman" w:hAnsi="Times New Roman" w:cs="Times New Roman"/>
          <w:sz w:val="24"/>
          <w:szCs w:val="24"/>
          <w:lang w:val="es-ES"/>
        </w:rPr>
        <w:t>a no ser que</w:t>
      </w:r>
      <w:r w:rsidR="003A4FDA" w:rsidRPr="00912C8A">
        <w:rPr>
          <w:rFonts w:ascii="Times New Roman" w:hAnsi="Times New Roman" w:cs="Times New Roman"/>
          <w:sz w:val="24"/>
          <w:szCs w:val="24"/>
          <w:lang w:val="es-ES"/>
        </w:rPr>
        <w:t xml:space="preserve"> </w:t>
      </w:r>
      <w:r w:rsidR="001461DF" w:rsidRPr="00912C8A">
        <w:rPr>
          <w:rFonts w:ascii="Times New Roman" w:hAnsi="Times New Roman" w:cs="Times New Roman"/>
          <w:sz w:val="24"/>
          <w:szCs w:val="24"/>
          <w:lang w:val="es-ES"/>
        </w:rPr>
        <w:t xml:space="preserve">las </w:t>
      </w:r>
      <w:r w:rsidR="003A4FDA" w:rsidRPr="00912C8A">
        <w:rPr>
          <w:rFonts w:ascii="Times New Roman" w:hAnsi="Times New Roman" w:cs="Times New Roman"/>
          <w:sz w:val="24"/>
          <w:szCs w:val="24"/>
          <w:lang w:val="es-ES"/>
        </w:rPr>
        <w:t xml:space="preserve">estructuras de precios </w:t>
      </w:r>
      <w:r w:rsidR="001461DF" w:rsidRPr="00912C8A">
        <w:rPr>
          <w:rFonts w:ascii="Times New Roman" w:hAnsi="Times New Roman" w:cs="Times New Roman"/>
          <w:sz w:val="24"/>
          <w:szCs w:val="24"/>
          <w:lang w:val="es-ES"/>
        </w:rPr>
        <w:t xml:space="preserve">sean </w:t>
      </w:r>
      <w:r w:rsidR="00C242BC" w:rsidRPr="00912C8A">
        <w:rPr>
          <w:rFonts w:ascii="Times New Roman" w:hAnsi="Times New Roman" w:cs="Times New Roman"/>
          <w:sz w:val="24"/>
          <w:szCs w:val="24"/>
          <w:lang w:val="es-ES"/>
        </w:rPr>
        <w:t>coincidentes</w:t>
      </w:r>
      <w:r w:rsidR="003A4FDA" w:rsidRPr="00912C8A">
        <w:rPr>
          <w:rFonts w:ascii="Times New Roman" w:hAnsi="Times New Roman" w:cs="Times New Roman"/>
          <w:sz w:val="24"/>
          <w:szCs w:val="24"/>
          <w:lang w:val="es-ES"/>
        </w:rPr>
        <w:t>.</w:t>
      </w:r>
      <w:r w:rsidR="00D009B4" w:rsidRPr="00912C8A">
        <w:rPr>
          <w:rFonts w:ascii="Times New Roman" w:hAnsi="Times New Roman" w:cs="Times New Roman"/>
          <w:sz w:val="24"/>
          <w:szCs w:val="24"/>
          <w:lang w:val="es-ES"/>
        </w:rPr>
        <w:t xml:space="preserve"> </w:t>
      </w:r>
      <w:r w:rsidR="00125AD0" w:rsidRPr="00912C8A">
        <w:rPr>
          <w:rFonts w:ascii="Times New Roman" w:hAnsi="Times New Roman" w:cs="Times New Roman"/>
          <w:sz w:val="24"/>
          <w:szCs w:val="24"/>
          <w:lang w:val="es-ES"/>
        </w:rPr>
        <w:t>Por ello,</w:t>
      </w:r>
      <w:r w:rsidR="0041370B" w:rsidRPr="00912C8A">
        <w:rPr>
          <w:rFonts w:ascii="Times New Roman" w:hAnsi="Times New Roman" w:cs="Times New Roman"/>
          <w:sz w:val="24"/>
          <w:szCs w:val="24"/>
          <w:lang w:val="es-ES"/>
        </w:rPr>
        <w:t xml:space="preserve"> c</w:t>
      </w:r>
      <w:r w:rsidR="003A4FDA" w:rsidRPr="00912C8A">
        <w:rPr>
          <w:rFonts w:ascii="Times New Roman" w:hAnsi="Times New Roman" w:cs="Times New Roman"/>
          <w:sz w:val="24"/>
          <w:szCs w:val="24"/>
          <w:lang w:val="es-ES"/>
        </w:rPr>
        <w:t xml:space="preserve">on </w:t>
      </w:r>
      <w:r w:rsidR="0041370B" w:rsidRPr="00912C8A">
        <w:rPr>
          <w:rFonts w:ascii="Times New Roman" w:hAnsi="Times New Roman" w:cs="Times New Roman"/>
          <w:sz w:val="24"/>
          <w:szCs w:val="24"/>
          <w:lang w:val="es-ES"/>
        </w:rPr>
        <w:t xml:space="preserve">el objeto de </w:t>
      </w:r>
      <w:r w:rsidR="00A646E9" w:rsidRPr="00912C8A">
        <w:rPr>
          <w:rFonts w:ascii="Times New Roman" w:hAnsi="Times New Roman" w:cs="Times New Roman"/>
          <w:sz w:val="24"/>
          <w:szCs w:val="24"/>
          <w:lang w:val="es-ES"/>
        </w:rPr>
        <w:t xml:space="preserve">trabajar con </w:t>
      </w:r>
      <w:r w:rsidR="0041370B" w:rsidRPr="00912C8A">
        <w:rPr>
          <w:rFonts w:ascii="Times New Roman" w:hAnsi="Times New Roman" w:cs="Times New Roman"/>
          <w:sz w:val="24"/>
          <w:szCs w:val="24"/>
          <w:lang w:val="es-ES"/>
        </w:rPr>
        <w:t>ingresos homogéneos en cuanto a su capacidad de compra, creamos</w:t>
      </w:r>
      <w:r w:rsidR="003A4FDA" w:rsidRPr="00912C8A">
        <w:rPr>
          <w:rFonts w:ascii="Times New Roman" w:hAnsi="Times New Roman" w:cs="Times New Roman"/>
          <w:sz w:val="24"/>
          <w:szCs w:val="24"/>
          <w:lang w:val="es-ES"/>
        </w:rPr>
        <w:t xml:space="preserve"> dos nuevas variables</w:t>
      </w:r>
      <w:r w:rsidR="00CB612E" w:rsidRPr="00912C8A">
        <w:rPr>
          <w:rFonts w:ascii="Times New Roman" w:hAnsi="Times New Roman" w:cs="Times New Roman"/>
          <w:sz w:val="24"/>
          <w:szCs w:val="24"/>
          <w:lang w:val="es-ES"/>
        </w:rPr>
        <w:t xml:space="preserve">, </w:t>
      </w:r>
      <w:r w:rsidR="00A646E9" w:rsidRPr="00912C8A">
        <w:rPr>
          <w:rFonts w:ascii="Times New Roman" w:hAnsi="Times New Roman" w:cs="Times New Roman"/>
          <w:sz w:val="24"/>
          <w:szCs w:val="24"/>
          <w:lang w:val="es-ES"/>
        </w:rPr>
        <w:t xml:space="preserve">el </w:t>
      </w:r>
      <w:r w:rsidR="00CB612E" w:rsidRPr="00912C8A">
        <w:rPr>
          <w:rFonts w:ascii="Times New Roman" w:hAnsi="Times New Roman" w:cs="Times New Roman"/>
          <w:sz w:val="24"/>
          <w:szCs w:val="24"/>
          <w:lang w:val="es-ES"/>
        </w:rPr>
        <w:t>IDE</w:t>
      </w:r>
      <w:r w:rsidR="00BF1733" w:rsidRPr="00912C8A">
        <w:rPr>
          <w:rFonts w:ascii="Times New Roman" w:hAnsi="Times New Roman" w:cs="Times New Roman"/>
          <w:sz w:val="24"/>
          <w:szCs w:val="24"/>
          <w:lang w:val="es-ES"/>
        </w:rPr>
        <w:t>P</w:t>
      </w:r>
      <w:r w:rsidR="00C242BC" w:rsidRPr="00912C8A">
        <w:rPr>
          <w:rFonts w:ascii="Times New Roman" w:hAnsi="Times New Roman" w:cs="Times New Roman"/>
          <w:sz w:val="24"/>
          <w:szCs w:val="24"/>
          <w:lang w:val="es-ES"/>
        </w:rPr>
        <w:t xml:space="preserve"> y el</w:t>
      </w:r>
      <w:r w:rsidR="00CB612E" w:rsidRPr="00912C8A">
        <w:rPr>
          <w:rFonts w:ascii="Times New Roman" w:hAnsi="Times New Roman" w:cs="Times New Roman"/>
          <w:sz w:val="24"/>
          <w:szCs w:val="24"/>
          <w:lang w:val="es-ES"/>
        </w:rPr>
        <w:t xml:space="preserve"> IDEI</w:t>
      </w:r>
      <w:r w:rsidR="00BF1733" w:rsidRPr="00912C8A">
        <w:rPr>
          <w:rFonts w:ascii="Times New Roman" w:hAnsi="Times New Roman" w:cs="Times New Roman"/>
          <w:sz w:val="24"/>
          <w:szCs w:val="24"/>
          <w:lang w:val="es-ES"/>
        </w:rPr>
        <w:t>P</w:t>
      </w:r>
      <w:r w:rsidR="00CB612E" w:rsidRPr="00912C8A">
        <w:rPr>
          <w:rFonts w:ascii="Times New Roman" w:hAnsi="Times New Roman" w:cs="Times New Roman"/>
          <w:sz w:val="24"/>
          <w:szCs w:val="24"/>
          <w:lang w:val="es-ES"/>
        </w:rPr>
        <w:t xml:space="preserve">, definidas </w:t>
      </w:r>
      <w:r w:rsidR="00822887" w:rsidRPr="00912C8A">
        <w:rPr>
          <w:rFonts w:ascii="Times New Roman" w:hAnsi="Times New Roman" w:cs="Times New Roman"/>
          <w:sz w:val="24"/>
          <w:szCs w:val="24"/>
          <w:lang w:val="es-ES"/>
        </w:rPr>
        <w:t>ajustando</w:t>
      </w:r>
      <w:r w:rsidR="00A646E9" w:rsidRPr="00912C8A">
        <w:rPr>
          <w:rFonts w:ascii="Times New Roman" w:hAnsi="Times New Roman" w:cs="Times New Roman"/>
          <w:sz w:val="24"/>
          <w:szCs w:val="24"/>
          <w:lang w:val="es-ES"/>
        </w:rPr>
        <w:t xml:space="preserve"> respectivamente</w:t>
      </w:r>
      <w:r w:rsidR="00CB612E" w:rsidRPr="00912C8A">
        <w:rPr>
          <w:rFonts w:ascii="Times New Roman" w:hAnsi="Times New Roman" w:cs="Times New Roman"/>
          <w:sz w:val="24"/>
          <w:szCs w:val="24"/>
          <w:lang w:val="es-ES"/>
        </w:rPr>
        <w:t xml:space="preserve"> el IDE e IDEI a través de</w:t>
      </w:r>
      <w:r w:rsidR="0041370B" w:rsidRPr="00912C8A">
        <w:rPr>
          <w:rFonts w:ascii="Times New Roman" w:hAnsi="Times New Roman" w:cs="Times New Roman"/>
          <w:sz w:val="24"/>
          <w:szCs w:val="24"/>
          <w:lang w:val="es-ES"/>
        </w:rPr>
        <w:t xml:space="preserve"> PPA regionales y deflactando a través del IPC español. E</w:t>
      </w:r>
      <w:r w:rsidR="004B4BCD" w:rsidRPr="00912C8A">
        <w:rPr>
          <w:rFonts w:ascii="Times New Roman" w:hAnsi="Times New Roman" w:cs="Times New Roman"/>
          <w:sz w:val="24"/>
          <w:szCs w:val="24"/>
          <w:lang w:val="es-ES"/>
        </w:rPr>
        <w:t>s</w:t>
      </w:r>
      <w:r w:rsidR="00C242BC" w:rsidRPr="00912C8A">
        <w:rPr>
          <w:rFonts w:ascii="Times New Roman" w:hAnsi="Times New Roman" w:cs="Times New Roman"/>
          <w:sz w:val="24"/>
          <w:szCs w:val="24"/>
          <w:lang w:val="es-ES"/>
        </w:rPr>
        <w:t>to es</w:t>
      </w:r>
      <w:r w:rsidR="004B4BCD" w:rsidRPr="00912C8A">
        <w:rPr>
          <w:rFonts w:ascii="Times New Roman" w:hAnsi="Times New Roman" w:cs="Times New Roman"/>
          <w:sz w:val="24"/>
          <w:szCs w:val="24"/>
          <w:lang w:val="es-ES"/>
        </w:rPr>
        <w:t xml:space="preserve">, homogeneizamos espacialmente </w:t>
      </w:r>
      <w:r w:rsidR="00436EC5" w:rsidRPr="00912C8A">
        <w:rPr>
          <w:rFonts w:ascii="Times New Roman" w:hAnsi="Times New Roman" w:cs="Times New Roman"/>
          <w:sz w:val="24"/>
          <w:szCs w:val="24"/>
          <w:lang w:val="es-ES"/>
        </w:rPr>
        <w:t xml:space="preserve">los ingresos de los </w:t>
      </w:r>
      <w:r w:rsidR="004B4BCD" w:rsidRPr="00912C8A">
        <w:rPr>
          <w:rFonts w:ascii="Times New Roman" w:hAnsi="Times New Roman" w:cs="Times New Roman"/>
          <w:sz w:val="24"/>
          <w:szCs w:val="24"/>
          <w:lang w:val="es-ES"/>
        </w:rPr>
        <w:t>individuo</w:t>
      </w:r>
      <w:r w:rsidR="00436EC5" w:rsidRPr="00912C8A">
        <w:rPr>
          <w:rFonts w:ascii="Times New Roman" w:hAnsi="Times New Roman" w:cs="Times New Roman"/>
          <w:sz w:val="24"/>
          <w:szCs w:val="24"/>
          <w:lang w:val="es-ES"/>
        </w:rPr>
        <w:t>s</w:t>
      </w:r>
      <w:r w:rsidR="004B4BCD" w:rsidRPr="00912C8A">
        <w:rPr>
          <w:rFonts w:ascii="Times New Roman" w:hAnsi="Times New Roman" w:cs="Times New Roman"/>
          <w:sz w:val="24"/>
          <w:szCs w:val="24"/>
          <w:lang w:val="es-ES"/>
        </w:rPr>
        <w:t xml:space="preserve"> de </w:t>
      </w:r>
      <w:r w:rsidR="00436EC5" w:rsidRPr="00912C8A">
        <w:rPr>
          <w:rFonts w:ascii="Times New Roman" w:hAnsi="Times New Roman" w:cs="Times New Roman"/>
          <w:sz w:val="24"/>
          <w:szCs w:val="24"/>
          <w:lang w:val="es-ES"/>
        </w:rPr>
        <w:t>cualquier</w:t>
      </w:r>
      <w:r w:rsidR="004B4BCD" w:rsidRPr="00912C8A">
        <w:rPr>
          <w:rFonts w:ascii="Times New Roman" w:hAnsi="Times New Roman" w:cs="Times New Roman"/>
          <w:sz w:val="24"/>
          <w:szCs w:val="24"/>
          <w:lang w:val="es-ES"/>
        </w:rPr>
        <w:t xml:space="preserve"> región i para el año t,  </w:t>
      </w:r>
      <w:proofErr w:type="spellStart"/>
      <w:r w:rsidR="004B4BCD" w:rsidRPr="00912C8A">
        <w:rPr>
          <w:rFonts w:ascii="Times New Roman" w:hAnsi="Times New Roman" w:cs="Times New Roman"/>
          <w:sz w:val="24"/>
          <w:szCs w:val="24"/>
          <w:lang w:val="es-ES"/>
        </w:rPr>
        <w:t>IDE</w:t>
      </w:r>
      <w:r w:rsidR="00A646E9" w:rsidRPr="00912C8A">
        <w:rPr>
          <w:rFonts w:ascii="Times New Roman" w:hAnsi="Times New Roman" w:cs="Times New Roman"/>
          <w:sz w:val="24"/>
          <w:szCs w:val="24"/>
          <w:vertAlign w:val="superscript"/>
          <w:lang w:val="es-ES"/>
        </w:rPr>
        <w:t>i</w:t>
      </w:r>
      <w:proofErr w:type="spellEnd"/>
      <w:r w:rsidR="00A646E9" w:rsidRPr="00912C8A">
        <w:rPr>
          <w:rFonts w:ascii="Times New Roman" w:hAnsi="Times New Roman" w:cs="Times New Roman"/>
          <w:sz w:val="24"/>
          <w:szCs w:val="24"/>
          <w:vertAlign w:val="superscript"/>
          <w:lang w:val="es-ES"/>
        </w:rPr>
        <w:t xml:space="preserve"> </w:t>
      </w:r>
      <w:r w:rsidR="00A646E9" w:rsidRPr="00912C8A">
        <w:rPr>
          <w:rFonts w:ascii="Times New Roman" w:hAnsi="Times New Roman" w:cs="Times New Roman"/>
          <w:sz w:val="24"/>
          <w:szCs w:val="24"/>
          <w:lang w:val="es-ES"/>
        </w:rPr>
        <w:t>(t),</w:t>
      </w:r>
      <w:r w:rsidR="004B4BCD" w:rsidRPr="00912C8A">
        <w:rPr>
          <w:rFonts w:ascii="Times New Roman" w:hAnsi="Times New Roman" w:cs="Times New Roman"/>
          <w:sz w:val="24"/>
          <w:szCs w:val="24"/>
          <w:lang w:val="es-ES"/>
        </w:rPr>
        <w:t xml:space="preserve">  dividiendo </w:t>
      </w:r>
      <w:r w:rsidR="00436EC5" w:rsidRPr="00912C8A">
        <w:rPr>
          <w:rFonts w:ascii="Times New Roman" w:hAnsi="Times New Roman" w:cs="Times New Roman"/>
          <w:sz w:val="24"/>
          <w:szCs w:val="24"/>
          <w:lang w:val="es-ES"/>
        </w:rPr>
        <w:t xml:space="preserve">éstos </w:t>
      </w:r>
      <w:r w:rsidR="004B4BCD" w:rsidRPr="00912C8A">
        <w:rPr>
          <w:rFonts w:ascii="Times New Roman" w:hAnsi="Times New Roman" w:cs="Times New Roman"/>
          <w:sz w:val="24"/>
          <w:szCs w:val="24"/>
          <w:lang w:val="es-ES"/>
        </w:rPr>
        <w:t xml:space="preserve">entre la paridad </w:t>
      </w:r>
      <w:r w:rsidR="00125AD0" w:rsidRPr="00912C8A">
        <w:rPr>
          <w:rFonts w:ascii="Times New Roman" w:hAnsi="Times New Roman" w:cs="Times New Roman"/>
          <w:sz w:val="24"/>
          <w:szCs w:val="24"/>
          <w:lang w:val="es-ES"/>
        </w:rPr>
        <w:t>de</w:t>
      </w:r>
      <w:r w:rsidR="004B4BCD" w:rsidRPr="00912C8A">
        <w:rPr>
          <w:rFonts w:ascii="Times New Roman" w:hAnsi="Times New Roman" w:cs="Times New Roman"/>
          <w:sz w:val="24"/>
          <w:szCs w:val="24"/>
          <w:lang w:val="es-ES"/>
        </w:rPr>
        <w:t xml:space="preserve"> la región i </w:t>
      </w:r>
      <w:r w:rsidR="00C242BC" w:rsidRPr="00912C8A">
        <w:rPr>
          <w:rFonts w:ascii="Times New Roman" w:hAnsi="Times New Roman" w:cs="Times New Roman"/>
          <w:sz w:val="24"/>
          <w:szCs w:val="24"/>
          <w:lang w:val="es-ES"/>
        </w:rPr>
        <w:t xml:space="preserve">respecto a España </w:t>
      </w:r>
      <w:r w:rsidR="004B4BCD" w:rsidRPr="00912C8A">
        <w:rPr>
          <w:rFonts w:ascii="Times New Roman" w:hAnsi="Times New Roman" w:cs="Times New Roman"/>
          <w:sz w:val="24"/>
          <w:szCs w:val="24"/>
          <w:lang w:val="es-ES"/>
        </w:rPr>
        <w:t>en el año t</w:t>
      </w:r>
      <w:proofErr w:type="gramStart"/>
      <w:r w:rsidR="00A646E9" w:rsidRPr="00912C8A">
        <w:rPr>
          <w:rFonts w:ascii="Times New Roman" w:hAnsi="Times New Roman" w:cs="Times New Roman"/>
          <w:sz w:val="24"/>
          <w:szCs w:val="24"/>
          <w:lang w:val="es-ES"/>
        </w:rPr>
        <w:t>,</w:t>
      </w:r>
      <w:r w:rsidR="00912C8A">
        <w:rPr>
          <w:rFonts w:ascii="Times New Roman" w:hAnsi="Times New Roman" w:cs="Times New Roman"/>
          <w:sz w:val="24"/>
          <w:szCs w:val="24"/>
          <w:lang w:val="es-ES"/>
        </w:rPr>
        <w:t xml:space="preserve"> </w:t>
      </w: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PPA</m:t>
            </m:r>
          </m:e>
          <m:sub>
            <m:r>
              <w:rPr>
                <w:rFonts w:ascii="Cambria Math" w:hAnsi="Cambria Math" w:cs="Times New Roman"/>
                <w:sz w:val="24"/>
                <w:szCs w:val="24"/>
                <w:lang w:val="es-ES"/>
              </w:rPr>
              <m:t>E</m:t>
            </m:r>
          </m:sub>
          <m:sup>
            <m:r>
              <w:rPr>
                <w:rFonts w:ascii="Cambria Math" w:hAnsi="Cambria Math" w:cs="Times New Roman"/>
                <w:sz w:val="24"/>
                <w:szCs w:val="24"/>
                <w:lang w:val="es-ES"/>
              </w:rPr>
              <m:t>i</m:t>
            </m:r>
          </m:sup>
        </m:sSubSup>
        <m:d>
          <m:dPr>
            <m:ctrlPr>
              <w:rPr>
                <w:rFonts w:ascii="Cambria Math" w:hAnsi="Cambria Math" w:cs="Times New Roman"/>
                <w:i/>
                <w:sz w:val="24"/>
                <w:szCs w:val="24"/>
                <w:lang w:val="es-ES"/>
              </w:rPr>
            </m:ctrlPr>
          </m:dPr>
          <m:e>
            <m:r>
              <w:rPr>
                <w:rFonts w:ascii="Cambria Math" w:hAnsi="Cambria Math" w:cs="Times New Roman"/>
                <w:sz w:val="24"/>
                <w:szCs w:val="24"/>
                <w:lang w:val="es-ES"/>
              </w:rPr>
              <m:t>t</m:t>
            </m:r>
          </m:e>
        </m:d>
      </m:oMath>
      <w:r w:rsidR="00A646E9" w:rsidRPr="00912C8A">
        <w:rPr>
          <w:rFonts w:ascii="Times New Roman" w:hAnsi="Times New Roman" w:cs="Times New Roman"/>
          <w:sz w:val="24"/>
          <w:szCs w:val="24"/>
          <w:lang w:val="es-ES"/>
        </w:rPr>
        <w:t>,</w:t>
      </w:r>
      <w:proofErr w:type="gramEnd"/>
      <w:r w:rsidR="00A646E9" w:rsidRPr="00912C8A">
        <w:rPr>
          <w:rFonts w:ascii="Times New Roman" w:hAnsi="Times New Roman" w:cs="Times New Roman"/>
          <w:sz w:val="24"/>
          <w:szCs w:val="24"/>
          <w:lang w:val="es-ES"/>
        </w:rPr>
        <w:t xml:space="preserve"> </w:t>
      </w:r>
      <w:r w:rsidR="00436EC5" w:rsidRPr="00912C8A">
        <w:rPr>
          <w:rFonts w:ascii="Times New Roman" w:hAnsi="Times New Roman" w:cs="Times New Roman"/>
          <w:sz w:val="24"/>
          <w:szCs w:val="24"/>
          <w:lang w:val="es-ES"/>
        </w:rPr>
        <w:t xml:space="preserve">eliminando así las diferencias de </w:t>
      </w:r>
      <w:r w:rsidR="00A646E9" w:rsidRPr="00912C8A">
        <w:rPr>
          <w:rFonts w:ascii="Times New Roman" w:hAnsi="Times New Roman" w:cs="Times New Roman"/>
          <w:sz w:val="24"/>
          <w:szCs w:val="24"/>
          <w:lang w:val="es-ES"/>
        </w:rPr>
        <w:t>precios espaciales en el año t</w:t>
      </w:r>
      <w:r w:rsidR="00125AD0" w:rsidRPr="00912C8A">
        <w:rPr>
          <w:rFonts w:ascii="Times New Roman" w:hAnsi="Times New Roman" w:cs="Times New Roman"/>
          <w:sz w:val="24"/>
          <w:szCs w:val="24"/>
          <w:lang w:val="es-ES"/>
        </w:rPr>
        <w:t xml:space="preserve">. </w:t>
      </w:r>
      <w:r w:rsidR="00703C66" w:rsidRPr="00912C8A">
        <w:rPr>
          <w:rFonts w:ascii="Times New Roman" w:hAnsi="Times New Roman" w:cs="Times New Roman"/>
          <w:sz w:val="24"/>
          <w:szCs w:val="24"/>
          <w:lang w:val="es-ES"/>
        </w:rPr>
        <w:t>Así mismo,</w:t>
      </w:r>
      <w:r w:rsidR="00436EC5" w:rsidRPr="00912C8A">
        <w:rPr>
          <w:rFonts w:ascii="Times New Roman" w:hAnsi="Times New Roman" w:cs="Times New Roman"/>
          <w:sz w:val="24"/>
          <w:szCs w:val="24"/>
          <w:lang w:val="es-ES"/>
        </w:rPr>
        <w:t xml:space="preserve"> homogeneizamos temporalmente </w:t>
      </w:r>
      <w:r w:rsidR="00125AD0" w:rsidRPr="00912C8A">
        <w:rPr>
          <w:rFonts w:ascii="Times New Roman" w:hAnsi="Times New Roman" w:cs="Times New Roman"/>
          <w:sz w:val="24"/>
          <w:szCs w:val="24"/>
          <w:lang w:val="es-ES"/>
        </w:rPr>
        <w:t xml:space="preserve">dichos ingresos </w:t>
      </w:r>
      <w:r w:rsidR="00BF1733" w:rsidRPr="00912C8A">
        <w:rPr>
          <w:rFonts w:ascii="Times New Roman" w:hAnsi="Times New Roman" w:cs="Times New Roman"/>
          <w:sz w:val="24"/>
          <w:szCs w:val="24"/>
          <w:lang w:val="es-ES"/>
        </w:rPr>
        <w:t>d</w:t>
      </w:r>
      <w:r w:rsidR="00436EC5" w:rsidRPr="00912C8A">
        <w:rPr>
          <w:rFonts w:ascii="Times New Roman" w:hAnsi="Times New Roman" w:cs="Times New Roman"/>
          <w:sz w:val="24"/>
          <w:szCs w:val="24"/>
          <w:lang w:val="es-ES"/>
        </w:rPr>
        <w:t xml:space="preserve">eflactando </w:t>
      </w:r>
      <w:r w:rsidR="00BF1733" w:rsidRPr="00912C8A">
        <w:rPr>
          <w:rFonts w:ascii="Times New Roman" w:hAnsi="Times New Roman" w:cs="Times New Roman"/>
          <w:sz w:val="24"/>
          <w:szCs w:val="24"/>
          <w:lang w:val="es-ES"/>
        </w:rPr>
        <w:t>por</w:t>
      </w:r>
      <w:r w:rsidR="00436EC5" w:rsidRPr="00912C8A">
        <w:rPr>
          <w:rFonts w:ascii="Times New Roman" w:hAnsi="Times New Roman" w:cs="Times New Roman"/>
          <w:sz w:val="24"/>
          <w:szCs w:val="24"/>
          <w:lang w:val="es-ES"/>
        </w:rPr>
        <w:t xml:space="preserve"> el </w:t>
      </w:r>
      <w:r w:rsidR="00BF1733" w:rsidRPr="00912C8A">
        <w:rPr>
          <w:rFonts w:ascii="Times New Roman" w:hAnsi="Times New Roman" w:cs="Times New Roman"/>
          <w:sz w:val="24"/>
          <w:szCs w:val="24"/>
          <w:lang w:val="es-ES"/>
        </w:rPr>
        <w:t xml:space="preserve">IPC </w:t>
      </w:r>
      <w:r w:rsidR="00060DA2" w:rsidRPr="00912C8A">
        <w:rPr>
          <w:rFonts w:ascii="Times New Roman" w:hAnsi="Times New Roman" w:cs="Times New Roman"/>
          <w:sz w:val="24"/>
          <w:szCs w:val="24"/>
          <w:lang w:val="es-ES"/>
        </w:rPr>
        <w:t>de España</w:t>
      </w:r>
      <w:r w:rsidR="00436EC5" w:rsidRPr="00912C8A">
        <w:rPr>
          <w:rFonts w:ascii="Times New Roman" w:hAnsi="Times New Roman" w:cs="Times New Roman"/>
          <w:sz w:val="24"/>
          <w:szCs w:val="24"/>
          <w:lang w:val="es-ES"/>
        </w:rPr>
        <w:t xml:space="preserve"> del año t con base en el primer año </w:t>
      </w:r>
      <w:r w:rsidR="00703C66" w:rsidRPr="00912C8A">
        <w:rPr>
          <w:rFonts w:ascii="Times New Roman" w:hAnsi="Times New Roman" w:cs="Times New Roman"/>
          <w:sz w:val="24"/>
          <w:szCs w:val="24"/>
          <w:lang w:val="es-ES"/>
        </w:rPr>
        <w:t>del período objeto de estudio</w:t>
      </w:r>
      <w:r w:rsidR="00436EC5" w:rsidRPr="00912C8A">
        <w:rPr>
          <w:rFonts w:ascii="Times New Roman" w:hAnsi="Times New Roman" w:cs="Times New Roman"/>
          <w:sz w:val="24"/>
          <w:szCs w:val="24"/>
          <w:lang w:val="es-ES"/>
        </w:rPr>
        <w:t xml:space="preserve"> (2007</w:t>
      </w:r>
      <w:proofErr w:type="gramStart"/>
      <w:r w:rsidR="00436EC5" w:rsidRPr="00912C8A">
        <w:rPr>
          <w:rFonts w:ascii="Times New Roman" w:hAnsi="Times New Roman" w:cs="Times New Roman"/>
          <w:sz w:val="24"/>
          <w:szCs w:val="24"/>
          <w:lang w:val="es-ES"/>
        </w:rPr>
        <w:t>)</w:t>
      </w:r>
      <w:r w:rsidR="00125AD0" w:rsidRPr="00912C8A">
        <w:rPr>
          <w:rFonts w:ascii="Times New Roman" w:hAnsi="Times New Roman" w:cs="Times New Roman"/>
          <w:sz w:val="24"/>
          <w:szCs w:val="24"/>
          <w:lang w:val="es-ES"/>
        </w:rPr>
        <w:t>,</w:t>
      </w:r>
      <w:r w:rsidR="00912C8A">
        <w:rPr>
          <w:rFonts w:ascii="Times New Roman" w:hAnsi="Times New Roman" w:cs="Times New Roman"/>
          <w:sz w:val="24"/>
          <w:szCs w:val="24"/>
          <w:lang w:val="es-ES"/>
        </w:rPr>
        <w:t xml:space="preserve"> </w:t>
      </w: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IPC</m:t>
            </m:r>
          </m:e>
          <m:sub>
            <m:r>
              <w:rPr>
                <w:rFonts w:ascii="Cambria Math" w:hAnsi="Cambria Math" w:cs="Times New Roman"/>
                <w:sz w:val="24"/>
                <w:szCs w:val="24"/>
                <w:lang w:val="es-ES"/>
              </w:rPr>
              <m:t xml:space="preserve">07 </m:t>
            </m:r>
          </m:sub>
          <m:sup>
            <m:r>
              <w:rPr>
                <w:rFonts w:ascii="Cambria Math" w:hAnsi="Cambria Math" w:cs="Times New Roman"/>
                <w:sz w:val="24"/>
                <w:szCs w:val="24"/>
                <w:lang w:val="es-ES"/>
              </w:rPr>
              <m:t>t</m:t>
            </m:r>
          </m:sup>
        </m:sSubSup>
        <m:r>
          <w:rPr>
            <w:rFonts w:ascii="Cambria Math" w:hAnsi="Cambria Math" w:cs="Times New Roman"/>
            <w:sz w:val="24"/>
            <w:szCs w:val="24"/>
            <w:lang w:val="es-ES"/>
          </w:rPr>
          <m:t>(E)</m:t>
        </m:r>
      </m:oMath>
      <w:r w:rsidR="00125AD0" w:rsidRPr="00912C8A">
        <w:rPr>
          <w:rFonts w:ascii="Times New Roman" w:hAnsi="Times New Roman" w:cs="Times New Roman"/>
          <w:sz w:val="24"/>
          <w:szCs w:val="24"/>
          <w:lang w:val="es-ES"/>
        </w:rPr>
        <w:t>.</w:t>
      </w:r>
      <w:proofErr w:type="gramEnd"/>
    </w:p>
    <w:p w:rsidR="004B4BCD" w:rsidRPr="00912C8A" w:rsidRDefault="005855A5" w:rsidP="00912C8A">
      <w:pPr>
        <w:spacing w:before="120" w:after="120" w:line="360" w:lineRule="auto"/>
        <w:jc w:val="center"/>
        <w:rPr>
          <w:rFonts w:ascii="Times New Roman" w:hAnsi="Times New Roman" w:cs="Times New Roman"/>
          <w:sz w:val="24"/>
          <w:szCs w:val="24"/>
          <w:lang w:val="es-ES"/>
        </w:rPr>
      </w:pP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IDEP</m:t>
            </m:r>
          </m:e>
          <m:sub/>
          <m:sup>
            <m:r>
              <w:rPr>
                <w:rFonts w:ascii="Cambria Math" w:hAnsi="Cambria Math" w:cs="Times New Roman"/>
                <w:sz w:val="24"/>
                <w:szCs w:val="24"/>
                <w:lang w:val="es-ES"/>
              </w:rPr>
              <m:t>i</m:t>
            </m:r>
          </m:sup>
        </m:sSubSup>
        <m:r>
          <w:rPr>
            <w:rFonts w:ascii="Cambria Math" w:hAnsi="Cambria Math" w:cs="Times New Roman"/>
            <w:sz w:val="24"/>
            <w:szCs w:val="24"/>
            <w:lang w:val="es-ES"/>
          </w:rPr>
          <m:t>(t)=</m:t>
        </m:r>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IDE</m:t>
                </m:r>
              </m:e>
              <m:sub/>
              <m:sup>
                <m:r>
                  <w:rPr>
                    <w:rFonts w:ascii="Cambria Math" w:hAnsi="Cambria Math" w:cs="Times New Roman"/>
                    <w:sz w:val="24"/>
                    <w:szCs w:val="24"/>
                    <w:lang w:val="es-ES"/>
                  </w:rPr>
                  <m:t>i</m:t>
                </m:r>
              </m:sup>
            </m:sSubSup>
            <m:r>
              <w:rPr>
                <w:rFonts w:ascii="Cambria Math" w:hAnsi="Cambria Math" w:cs="Times New Roman"/>
                <w:sz w:val="24"/>
                <w:szCs w:val="24"/>
                <w:lang w:val="es-ES"/>
              </w:rPr>
              <m:t>(t)</m:t>
            </m:r>
          </m:num>
          <m:den>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PPA</m:t>
                </m:r>
              </m:e>
              <m:sub>
                <m:r>
                  <w:rPr>
                    <w:rFonts w:ascii="Cambria Math" w:hAnsi="Cambria Math" w:cs="Times New Roman"/>
                    <w:sz w:val="24"/>
                    <w:szCs w:val="24"/>
                    <w:lang w:val="es-ES"/>
                  </w:rPr>
                  <m:t>E</m:t>
                </m:r>
              </m:sub>
              <m:sup>
                <m:r>
                  <w:rPr>
                    <w:rFonts w:ascii="Cambria Math" w:hAnsi="Cambria Math" w:cs="Times New Roman"/>
                    <w:sz w:val="24"/>
                    <w:szCs w:val="24"/>
                    <w:lang w:val="es-ES"/>
                  </w:rPr>
                  <m:t>i</m:t>
                </m:r>
              </m:sup>
            </m:sSubSup>
            <m:d>
              <m:dPr>
                <m:ctrlPr>
                  <w:rPr>
                    <w:rFonts w:ascii="Cambria Math" w:hAnsi="Cambria Math" w:cs="Times New Roman"/>
                    <w:i/>
                    <w:sz w:val="24"/>
                    <w:szCs w:val="24"/>
                    <w:lang w:val="es-ES"/>
                  </w:rPr>
                </m:ctrlPr>
              </m:dPr>
              <m:e>
                <m:r>
                  <w:rPr>
                    <w:rFonts w:ascii="Cambria Math" w:hAnsi="Cambria Math" w:cs="Times New Roman"/>
                    <w:sz w:val="24"/>
                    <w:szCs w:val="24"/>
                    <w:lang w:val="es-ES"/>
                  </w:rPr>
                  <m:t>t</m:t>
                </m:r>
              </m:e>
            </m:d>
            <m:r>
              <w:rPr>
                <w:rFonts w:ascii="Cambria Math" w:hAnsi="Cambria Math" w:cs="Times New Roman"/>
                <w:sz w:val="24"/>
                <w:szCs w:val="24"/>
                <w:lang w:val="es-ES"/>
              </w:rPr>
              <m:t>*</m:t>
            </m:r>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IPC</m:t>
                </m:r>
              </m:e>
              <m:sub>
                <m:r>
                  <w:rPr>
                    <w:rFonts w:ascii="Cambria Math" w:hAnsi="Cambria Math" w:cs="Times New Roman"/>
                    <w:sz w:val="24"/>
                    <w:szCs w:val="24"/>
                    <w:lang w:val="es-ES"/>
                  </w:rPr>
                  <m:t>07</m:t>
                </m:r>
              </m:sub>
              <m:sup>
                <m:r>
                  <w:rPr>
                    <w:rFonts w:ascii="Cambria Math" w:hAnsi="Cambria Math" w:cs="Times New Roman"/>
                    <w:sz w:val="24"/>
                    <w:szCs w:val="24"/>
                    <w:lang w:val="es-ES"/>
                  </w:rPr>
                  <m:t>t</m:t>
                </m:r>
              </m:sup>
            </m:sSubSup>
            <m:r>
              <w:rPr>
                <w:rFonts w:ascii="Cambria Math" w:hAnsi="Cambria Math" w:cs="Times New Roman"/>
                <w:sz w:val="24"/>
                <w:szCs w:val="24"/>
                <w:lang w:val="es-ES"/>
              </w:rPr>
              <m:t>(E)</m:t>
            </m:r>
          </m:den>
        </m:f>
      </m:oMath>
      <w:r w:rsidR="00CB612E" w:rsidRPr="00912C8A">
        <w:rPr>
          <w:rFonts w:ascii="Times New Roman" w:hAnsi="Times New Roman" w:cs="Times New Roman"/>
          <w:sz w:val="24"/>
          <w:szCs w:val="24"/>
          <w:lang w:val="es-ES"/>
        </w:rPr>
        <w:t xml:space="preserve"> </w:t>
      </w:r>
      <w:r w:rsidR="004B4BCD" w:rsidRPr="00912C8A">
        <w:rPr>
          <w:rFonts w:ascii="Times New Roman" w:hAnsi="Times New Roman" w:cs="Times New Roman"/>
          <w:sz w:val="24"/>
          <w:szCs w:val="24"/>
          <w:lang w:val="es-ES"/>
        </w:rPr>
        <w:t xml:space="preserve">                </w:t>
      </w: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IDEIP</m:t>
            </m:r>
          </m:e>
          <m:sub/>
          <m:sup>
            <m:r>
              <w:rPr>
                <w:rFonts w:ascii="Cambria Math" w:hAnsi="Cambria Math" w:cs="Times New Roman"/>
                <w:sz w:val="24"/>
                <w:szCs w:val="24"/>
                <w:lang w:val="es-ES"/>
              </w:rPr>
              <m:t>i</m:t>
            </m:r>
          </m:sup>
        </m:sSubSup>
        <m:r>
          <w:rPr>
            <w:rFonts w:ascii="Cambria Math" w:hAnsi="Cambria Math" w:cs="Times New Roman"/>
            <w:sz w:val="24"/>
            <w:szCs w:val="24"/>
            <w:lang w:val="es-ES"/>
          </w:rPr>
          <m:t>(t)=</m:t>
        </m:r>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IDEI</m:t>
                </m:r>
              </m:e>
              <m:sub/>
              <m:sup>
                <m:r>
                  <w:rPr>
                    <w:rFonts w:ascii="Cambria Math" w:hAnsi="Cambria Math" w:cs="Times New Roman"/>
                    <w:sz w:val="24"/>
                    <w:szCs w:val="24"/>
                    <w:lang w:val="es-ES"/>
                  </w:rPr>
                  <m:t>i</m:t>
                </m:r>
              </m:sup>
            </m:sSubSup>
            <m:r>
              <w:rPr>
                <w:rFonts w:ascii="Cambria Math" w:hAnsi="Cambria Math" w:cs="Times New Roman"/>
                <w:sz w:val="24"/>
                <w:szCs w:val="24"/>
                <w:lang w:val="es-ES"/>
              </w:rPr>
              <m:t>(t)</m:t>
            </m:r>
          </m:num>
          <m:den>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PPA</m:t>
                </m:r>
              </m:e>
              <m:sub>
                <m:r>
                  <w:rPr>
                    <w:rFonts w:ascii="Cambria Math" w:hAnsi="Cambria Math" w:cs="Times New Roman"/>
                    <w:sz w:val="24"/>
                    <w:szCs w:val="24"/>
                    <w:lang w:val="es-ES"/>
                  </w:rPr>
                  <m:t>E</m:t>
                </m:r>
              </m:sub>
              <m:sup>
                <m:r>
                  <w:rPr>
                    <w:rFonts w:ascii="Cambria Math" w:hAnsi="Cambria Math" w:cs="Times New Roman"/>
                    <w:sz w:val="24"/>
                    <w:szCs w:val="24"/>
                    <w:lang w:val="es-ES"/>
                  </w:rPr>
                  <m:t>i</m:t>
                </m:r>
              </m:sup>
            </m:sSubSup>
            <m:d>
              <m:dPr>
                <m:ctrlPr>
                  <w:rPr>
                    <w:rFonts w:ascii="Cambria Math" w:hAnsi="Cambria Math" w:cs="Times New Roman"/>
                    <w:i/>
                    <w:sz w:val="24"/>
                    <w:szCs w:val="24"/>
                    <w:lang w:val="es-ES"/>
                  </w:rPr>
                </m:ctrlPr>
              </m:dPr>
              <m:e>
                <m:r>
                  <w:rPr>
                    <w:rFonts w:ascii="Cambria Math" w:hAnsi="Cambria Math" w:cs="Times New Roman"/>
                    <w:sz w:val="24"/>
                    <w:szCs w:val="24"/>
                    <w:lang w:val="es-ES"/>
                  </w:rPr>
                  <m:t>t</m:t>
                </m:r>
              </m:e>
            </m:d>
            <m:r>
              <w:rPr>
                <w:rFonts w:ascii="Cambria Math" w:hAnsi="Cambria Math" w:cs="Times New Roman"/>
                <w:sz w:val="24"/>
                <w:szCs w:val="24"/>
                <w:lang w:val="es-ES"/>
              </w:rPr>
              <m:t>*</m:t>
            </m:r>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IPC</m:t>
                </m:r>
              </m:e>
              <m:sub>
                <m:r>
                  <w:rPr>
                    <w:rFonts w:ascii="Cambria Math" w:hAnsi="Cambria Math" w:cs="Times New Roman"/>
                    <w:sz w:val="24"/>
                    <w:szCs w:val="24"/>
                    <w:lang w:val="es-ES"/>
                  </w:rPr>
                  <m:t>07</m:t>
                </m:r>
              </m:sub>
              <m:sup>
                <m:r>
                  <w:rPr>
                    <w:rFonts w:ascii="Cambria Math" w:hAnsi="Cambria Math" w:cs="Times New Roman"/>
                    <w:sz w:val="24"/>
                    <w:szCs w:val="24"/>
                    <w:lang w:val="es-ES"/>
                  </w:rPr>
                  <m:t>t</m:t>
                </m:r>
              </m:sup>
            </m:sSubSup>
            <m:r>
              <w:rPr>
                <w:rFonts w:ascii="Cambria Math" w:hAnsi="Cambria Math" w:cs="Times New Roman"/>
                <w:sz w:val="24"/>
                <w:szCs w:val="24"/>
                <w:lang w:val="es-ES"/>
              </w:rPr>
              <m:t>(E)</m:t>
            </m:r>
          </m:den>
        </m:f>
      </m:oMath>
      <w:r w:rsidR="004B4BCD" w:rsidRPr="00912C8A">
        <w:rPr>
          <w:rFonts w:ascii="Times New Roman" w:hAnsi="Times New Roman" w:cs="Times New Roman"/>
          <w:sz w:val="24"/>
          <w:szCs w:val="24"/>
          <w:lang w:val="es-ES"/>
        </w:rPr>
        <w:t xml:space="preserve">  </w:t>
      </w:r>
    </w:p>
    <w:p w:rsidR="008A1533" w:rsidRPr="00912C8A" w:rsidRDefault="008A1533" w:rsidP="00912C8A">
      <w:pPr>
        <w:spacing w:before="120" w:after="120" w:line="360" w:lineRule="auto"/>
        <w:jc w:val="both"/>
        <w:rPr>
          <w:rFonts w:ascii="Times New Roman" w:hAnsi="Times New Roman" w:cs="Times New Roman"/>
          <w:sz w:val="24"/>
          <w:szCs w:val="24"/>
          <w:lang w:val="es-ES"/>
        </w:rPr>
      </w:pPr>
    </w:p>
    <w:p w:rsidR="004416F8" w:rsidRPr="00912C8A" w:rsidRDefault="008A1533"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 xml:space="preserve">Es síntesis, las variables </w:t>
      </w:r>
      <w:r w:rsidR="00C242BC" w:rsidRPr="00912C8A">
        <w:rPr>
          <w:rFonts w:ascii="Times New Roman" w:hAnsi="Times New Roman" w:cs="Times New Roman"/>
          <w:sz w:val="24"/>
          <w:szCs w:val="24"/>
          <w:lang w:val="es-ES"/>
        </w:rPr>
        <w:t xml:space="preserve">clave </w:t>
      </w:r>
      <w:r w:rsidR="00B508B0" w:rsidRPr="00912C8A">
        <w:rPr>
          <w:rFonts w:ascii="Times New Roman" w:hAnsi="Times New Roman" w:cs="Times New Roman"/>
          <w:sz w:val="24"/>
          <w:szCs w:val="24"/>
          <w:lang w:val="es-ES"/>
        </w:rPr>
        <w:t xml:space="preserve">que tendremos en cuenta para </w:t>
      </w:r>
      <w:r w:rsidR="00461D96" w:rsidRPr="00912C8A">
        <w:rPr>
          <w:rFonts w:ascii="Times New Roman" w:hAnsi="Times New Roman" w:cs="Times New Roman"/>
          <w:sz w:val="24"/>
          <w:szCs w:val="24"/>
          <w:lang w:val="es-ES"/>
        </w:rPr>
        <w:t>e</w:t>
      </w:r>
      <w:r w:rsidR="00B508B0" w:rsidRPr="00912C8A">
        <w:rPr>
          <w:rFonts w:ascii="Times New Roman" w:hAnsi="Times New Roman" w:cs="Times New Roman"/>
          <w:sz w:val="24"/>
          <w:szCs w:val="24"/>
          <w:lang w:val="es-ES"/>
        </w:rPr>
        <w:t>l</w:t>
      </w:r>
      <w:r w:rsidR="00461D96" w:rsidRPr="00912C8A">
        <w:rPr>
          <w:rFonts w:ascii="Times New Roman" w:hAnsi="Times New Roman" w:cs="Times New Roman"/>
          <w:sz w:val="24"/>
          <w:szCs w:val="24"/>
          <w:lang w:val="es-ES"/>
        </w:rPr>
        <w:t xml:space="preserve"> estudio de la pobreza son</w:t>
      </w:r>
      <w:r w:rsidRPr="00912C8A">
        <w:rPr>
          <w:rFonts w:ascii="Times New Roman" w:hAnsi="Times New Roman" w:cs="Times New Roman"/>
          <w:sz w:val="24"/>
          <w:szCs w:val="24"/>
          <w:lang w:val="es-ES"/>
        </w:rPr>
        <w:t>:</w:t>
      </w:r>
    </w:p>
    <w:p w:rsidR="008A1533" w:rsidRPr="00912C8A" w:rsidRDefault="008A1533"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IDE =  ingreso disponible total del hogar por adulto equivalente</w:t>
      </w:r>
      <w:r w:rsidR="00B508B0" w:rsidRPr="00912C8A">
        <w:rPr>
          <w:rFonts w:ascii="Times New Roman" w:hAnsi="Times New Roman" w:cs="Times New Roman"/>
          <w:sz w:val="24"/>
          <w:szCs w:val="24"/>
          <w:lang w:val="es-ES"/>
        </w:rPr>
        <w:t xml:space="preserve"> (en € corrientes).</w:t>
      </w:r>
    </w:p>
    <w:p w:rsidR="008A1533" w:rsidRPr="00912C8A" w:rsidRDefault="008A1533"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IDEI= ingreso disponible total del hogar por adulto equivalente, con alquiler y autoconsumo/</w:t>
      </w:r>
      <w:proofErr w:type="spellStart"/>
      <w:r w:rsidRPr="00912C8A">
        <w:rPr>
          <w:rFonts w:ascii="Times New Roman" w:hAnsi="Times New Roman" w:cs="Times New Roman"/>
          <w:sz w:val="24"/>
          <w:szCs w:val="24"/>
          <w:lang w:val="es-ES"/>
        </w:rPr>
        <w:t>autosuministro</w:t>
      </w:r>
      <w:proofErr w:type="spellEnd"/>
      <w:r w:rsidRPr="00912C8A">
        <w:rPr>
          <w:rFonts w:ascii="Times New Roman" w:hAnsi="Times New Roman" w:cs="Times New Roman"/>
          <w:sz w:val="24"/>
          <w:szCs w:val="24"/>
          <w:lang w:val="es-ES"/>
        </w:rPr>
        <w:t xml:space="preserve"> imputados</w:t>
      </w:r>
      <w:r w:rsidR="00B508B0" w:rsidRPr="00912C8A">
        <w:rPr>
          <w:rFonts w:ascii="Times New Roman" w:hAnsi="Times New Roman" w:cs="Times New Roman"/>
          <w:sz w:val="24"/>
          <w:szCs w:val="24"/>
          <w:lang w:val="es-ES"/>
        </w:rPr>
        <w:t xml:space="preserve"> (en € corrientes).</w:t>
      </w:r>
    </w:p>
    <w:p w:rsidR="008A1533" w:rsidRPr="00912C8A" w:rsidRDefault="007F24FC"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I</w:t>
      </w:r>
      <w:r w:rsidR="008A1533" w:rsidRPr="00912C8A">
        <w:rPr>
          <w:rFonts w:ascii="Times New Roman" w:hAnsi="Times New Roman" w:cs="Times New Roman"/>
          <w:sz w:val="24"/>
          <w:szCs w:val="24"/>
          <w:lang w:val="es-ES"/>
        </w:rPr>
        <w:t>DE</w:t>
      </w:r>
      <w:r w:rsidR="00461D96" w:rsidRPr="00912C8A">
        <w:rPr>
          <w:rFonts w:ascii="Times New Roman" w:hAnsi="Times New Roman" w:cs="Times New Roman"/>
          <w:sz w:val="24"/>
          <w:szCs w:val="24"/>
          <w:lang w:val="es-ES"/>
        </w:rPr>
        <w:t>P</w:t>
      </w:r>
      <w:r w:rsidR="008A1533" w:rsidRPr="00912C8A">
        <w:rPr>
          <w:rFonts w:ascii="Times New Roman" w:hAnsi="Times New Roman" w:cs="Times New Roman"/>
          <w:sz w:val="24"/>
          <w:szCs w:val="24"/>
          <w:lang w:val="es-ES"/>
        </w:rPr>
        <w:t xml:space="preserve"> =  ingreso disponible total del hogar por adulto equivalente, deflactado c</w:t>
      </w:r>
      <w:r w:rsidR="00B508B0" w:rsidRPr="00912C8A">
        <w:rPr>
          <w:rFonts w:ascii="Times New Roman" w:hAnsi="Times New Roman" w:cs="Times New Roman"/>
          <w:sz w:val="24"/>
          <w:szCs w:val="24"/>
          <w:lang w:val="es-ES"/>
        </w:rPr>
        <w:t>on PPA regionales e IPC español (en € de 2007).</w:t>
      </w:r>
    </w:p>
    <w:p w:rsidR="008A1533" w:rsidRPr="00912C8A" w:rsidRDefault="00461D96"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IDEIP</w:t>
      </w:r>
      <w:r w:rsidR="008A1533" w:rsidRPr="00912C8A">
        <w:rPr>
          <w:rFonts w:ascii="Times New Roman" w:hAnsi="Times New Roman" w:cs="Times New Roman"/>
          <w:sz w:val="24"/>
          <w:szCs w:val="24"/>
          <w:lang w:val="es-ES"/>
        </w:rPr>
        <w:t xml:space="preserve"> =  ingreso disponible total del hogar por adulto equivalente, con alquiler y autoconsumo/</w:t>
      </w:r>
      <w:proofErr w:type="spellStart"/>
      <w:r w:rsidR="008A1533" w:rsidRPr="00912C8A">
        <w:rPr>
          <w:rFonts w:ascii="Times New Roman" w:hAnsi="Times New Roman" w:cs="Times New Roman"/>
          <w:sz w:val="24"/>
          <w:szCs w:val="24"/>
          <w:lang w:val="es-ES"/>
        </w:rPr>
        <w:t>autosuministro</w:t>
      </w:r>
      <w:proofErr w:type="spellEnd"/>
      <w:r w:rsidR="008A1533" w:rsidRPr="00912C8A">
        <w:rPr>
          <w:rFonts w:ascii="Times New Roman" w:hAnsi="Times New Roman" w:cs="Times New Roman"/>
          <w:sz w:val="24"/>
          <w:szCs w:val="24"/>
          <w:lang w:val="es-ES"/>
        </w:rPr>
        <w:t xml:space="preserve"> imputados, deflactado con PPA regionales e IPC español</w:t>
      </w:r>
      <w:r w:rsidR="00B508B0" w:rsidRPr="00912C8A">
        <w:rPr>
          <w:rFonts w:ascii="Times New Roman" w:hAnsi="Times New Roman" w:cs="Times New Roman"/>
          <w:sz w:val="24"/>
          <w:szCs w:val="24"/>
          <w:lang w:val="es-ES"/>
        </w:rPr>
        <w:t xml:space="preserve"> (en € de 2007).</w:t>
      </w:r>
    </w:p>
    <w:p w:rsidR="007A6B08" w:rsidRPr="00912C8A" w:rsidRDefault="007A6B08" w:rsidP="00796C9A">
      <w:pPr>
        <w:keepNext/>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lastRenderedPageBreak/>
        <w:t>MEDIDAS Y LÍNEAS DE POBREZA</w:t>
      </w:r>
    </w:p>
    <w:p w:rsidR="008B4B50" w:rsidRPr="00912C8A" w:rsidRDefault="00461D96"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 xml:space="preserve">Utilizamos como </w:t>
      </w:r>
      <w:r w:rsidR="003B7EB7" w:rsidRPr="00912C8A">
        <w:rPr>
          <w:rFonts w:ascii="Times New Roman" w:hAnsi="Times New Roman" w:cs="Times New Roman"/>
          <w:sz w:val="24"/>
          <w:szCs w:val="24"/>
          <w:lang w:val="es-ES"/>
        </w:rPr>
        <w:t xml:space="preserve">indicador de pobreza </w:t>
      </w:r>
      <w:r w:rsidRPr="00912C8A">
        <w:rPr>
          <w:rFonts w:ascii="Times New Roman" w:hAnsi="Times New Roman" w:cs="Times New Roman"/>
          <w:sz w:val="24"/>
          <w:szCs w:val="24"/>
          <w:lang w:val="es-ES"/>
        </w:rPr>
        <w:t>el conocido</w:t>
      </w:r>
      <w:r w:rsidR="003B7EB7" w:rsidRPr="00912C8A">
        <w:rPr>
          <w:rFonts w:ascii="Times New Roman" w:hAnsi="Times New Roman" w:cs="Times New Roman"/>
          <w:sz w:val="24"/>
          <w:szCs w:val="24"/>
          <w:lang w:val="es-ES"/>
        </w:rPr>
        <w:t xml:space="preserve"> Índice de Recuento </w:t>
      </w:r>
      <w:r w:rsidR="003E0FA3" w:rsidRPr="00912C8A">
        <w:rPr>
          <w:rFonts w:ascii="Times New Roman" w:hAnsi="Times New Roman" w:cs="Times New Roman"/>
          <w:sz w:val="24"/>
          <w:szCs w:val="24"/>
          <w:lang w:val="es-ES"/>
        </w:rPr>
        <w:t xml:space="preserve">o Tasa de Riesgo de Pobreza, </w:t>
      </w:r>
      <w:r w:rsidR="003B7EB7" w:rsidRPr="00912C8A">
        <w:rPr>
          <w:rFonts w:ascii="Times New Roman" w:hAnsi="Times New Roman" w:cs="Times New Roman"/>
          <w:sz w:val="24"/>
          <w:szCs w:val="24"/>
          <w:lang w:val="es-ES"/>
        </w:rPr>
        <w:t>que cuantifica el porcentaje de personas que están por debajo de un umbral de pobreza previamente definid</w:t>
      </w:r>
      <w:r w:rsidR="00A905DA" w:rsidRPr="00912C8A">
        <w:rPr>
          <w:rFonts w:ascii="Times New Roman" w:hAnsi="Times New Roman" w:cs="Times New Roman"/>
          <w:sz w:val="24"/>
          <w:szCs w:val="24"/>
          <w:lang w:val="es-ES"/>
        </w:rPr>
        <w:t>o</w:t>
      </w:r>
      <w:r w:rsidR="0006291D" w:rsidRPr="00912C8A">
        <w:rPr>
          <w:rFonts w:ascii="Times New Roman" w:hAnsi="Times New Roman" w:cs="Times New Roman"/>
          <w:sz w:val="24"/>
          <w:szCs w:val="24"/>
          <w:lang w:val="es-ES"/>
        </w:rPr>
        <w:t>. En el caso que nos ocupa quere</w:t>
      </w:r>
      <w:r w:rsidR="003B7EB7" w:rsidRPr="00912C8A">
        <w:rPr>
          <w:rFonts w:ascii="Times New Roman" w:hAnsi="Times New Roman" w:cs="Times New Roman"/>
          <w:sz w:val="24"/>
          <w:szCs w:val="24"/>
          <w:lang w:val="es-ES"/>
        </w:rPr>
        <w:t xml:space="preserve">mos </w:t>
      </w:r>
      <w:r w:rsidR="0006291D" w:rsidRPr="00912C8A">
        <w:rPr>
          <w:rFonts w:ascii="Times New Roman" w:hAnsi="Times New Roman" w:cs="Times New Roman"/>
          <w:sz w:val="24"/>
          <w:szCs w:val="24"/>
          <w:lang w:val="es-ES"/>
        </w:rPr>
        <w:t xml:space="preserve">analizar especialmente </w:t>
      </w:r>
      <w:r w:rsidR="003B7EB7" w:rsidRPr="00912C8A">
        <w:rPr>
          <w:rFonts w:ascii="Times New Roman" w:hAnsi="Times New Roman" w:cs="Times New Roman"/>
          <w:sz w:val="24"/>
          <w:szCs w:val="24"/>
          <w:lang w:val="es-ES"/>
        </w:rPr>
        <w:t>la sensibilidad de los</w:t>
      </w:r>
      <w:r w:rsidRPr="00912C8A">
        <w:rPr>
          <w:rFonts w:ascii="Times New Roman" w:hAnsi="Times New Roman" w:cs="Times New Roman"/>
          <w:sz w:val="24"/>
          <w:szCs w:val="24"/>
          <w:lang w:val="es-ES"/>
        </w:rPr>
        <w:t xml:space="preserve"> resultados</w:t>
      </w:r>
      <w:r w:rsidR="003B7EB7" w:rsidRPr="00912C8A">
        <w:rPr>
          <w:rFonts w:ascii="Times New Roman" w:hAnsi="Times New Roman" w:cs="Times New Roman"/>
          <w:sz w:val="24"/>
          <w:szCs w:val="24"/>
          <w:lang w:val="es-ES"/>
        </w:rPr>
        <w:t xml:space="preserve"> respecto a la </w:t>
      </w:r>
      <w:r w:rsidRPr="00912C8A">
        <w:rPr>
          <w:rFonts w:ascii="Times New Roman" w:hAnsi="Times New Roman" w:cs="Times New Roman"/>
          <w:sz w:val="24"/>
          <w:szCs w:val="24"/>
          <w:lang w:val="es-ES"/>
        </w:rPr>
        <w:t>elección del umbral</w:t>
      </w:r>
      <w:r w:rsidR="003B7EB7" w:rsidRPr="00912C8A">
        <w:rPr>
          <w:rFonts w:ascii="Times New Roman" w:hAnsi="Times New Roman" w:cs="Times New Roman"/>
          <w:sz w:val="24"/>
          <w:szCs w:val="24"/>
          <w:lang w:val="es-ES"/>
        </w:rPr>
        <w:t xml:space="preserve"> de pobreza</w:t>
      </w:r>
      <w:r w:rsidR="0006291D" w:rsidRPr="00912C8A">
        <w:rPr>
          <w:rFonts w:ascii="Times New Roman" w:hAnsi="Times New Roman" w:cs="Times New Roman"/>
          <w:sz w:val="24"/>
          <w:szCs w:val="24"/>
          <w:lang w:val="es-ES"/>
        </w:rPr>
        <w:t xml:space="preserve"> </w:t>
      </w:r>
      <w:r w:rsidR="00B14ADE" w:rsidRPr="00912C8A">
        <w:rPr>
          <w:rFonts w:ascii="Times New Roman" w:hAnsi="Times New Roman" w:cs="Times New Roman"/>
          <w:sz w:val="24"/>
          <w:szCs w:val="24"/>
          <w:lang w:val="es-ES"/>
        </w:rPr>
        <w:t>y/o la variable de ingresos utilizada</w:t>
      </w:r>
      <w:r w:rsidRPr="00912C8A">
        <w:rPr>
          <w:rFonts w:ascii="Times New Roman" w:hAnsi="Times New Roman" w:cs="Times New Roman"/>
          <w:sz w:val="24"/>
          <w:szCs w:val="24"/>
          <w:lang w:val="es-ES"/>
        </w:rPr>
        <w:t>. Por ello, además de la línea de pobreza tradicional fijada</w:t>
      </w:r>
      <w:r w:rsidR="003B7EB7" w:rsidRPr="00912C8A">
        <w:rPr>
          <w:rFonts w:ascii="Times New Roman" w:hAnsi="Times New Roman" w:cs="Times New Roman"/>
          <w:sz w:val="24"/>
          <w:szCs w:val="24"/>
          <w:lang w:val="es-ES"/>
        </w:rPr>
        <w:t xml:space="preserve"> en el 60% de la mediana de los ingresos </w:t>
      </w:r>
      <w:r w:rsidR="00A905DA" w:rsidRPr="00912C8A">
        <w:rPr>
          <w:rFonts w:ascii="Times New Roman" w:hAnsi="Times New Roman" w:cs="Times New Roman"/>
          <w:sz w:val="24"/>
          <w:szCs w:val="24"/>
          <w:lang w:val="es-ES"/>
        </w:rPr>
        <w:t xml:space="preserve">anuales </w:t>
      </w:r>
      <w:r w:rsidR="00A708F9" w:rsidRPr="00912C8A">
        <w:rPr>
          <w:rFonts w:ascii="Times New Roman" w:hAnsi="Times New Roman" w:cs="Times New Roman"/>
          <w:sz w:val="24"/>
          <w:szCs w:val="24"/>
          <w:lang w:val="es-ES"/>
        </w:rPr>
        <w:t xml:space="preserve">disponibles </w:t>
      </w:r>
      <w:r w:rsidR="003E0FA3" w:rsidRPr="00912C8A">
        <w:rPr>
          <w:rFonts w:ascii="Times New Roman" w:hAnsi="Times New Roman" w:cs="Times New Roman"/>
          <w:sz w:val="24"/>
          <w:szCs w:val="24"/>
          <w:lang w:val="es-ES"/>
        </w:rPr>
        <w:t xml:space="preserve">por adulto </w:t>
      </w:r>
      <w:r w:rsidR="00A708F9" w:rsidRPr="00912C8A">
        <w:rPr>
          <w:rFonts w:ascii="Times New Roman" w:hAnsi="Times New Roman" w:cs="Times New Roman"/>
          <w:sz w:val="24"/>
          <w:szCs w:val="24"/>
          <w:lang w:val="es-ES"/>
        </w:rPr>
        <w:t>equivalente</w:t>
      </w:r>
      <w:r w:rsidRPr="00912C8A">
        <w:rPr>
          <w:rFonts w:ascii="Times New Roman" w:hAnsi="Times New Roman" w:cs="Times New Roman"/>
          <w:sz w:val="24"/>
          <w:szCs w:val="24"/>
          <w:lang w:val="es-ES"/>
        </w:rPr>
        <w:t xml:space="preserve">, hemos propuesto </w:t>
      </w:r>
      <w:r w:rsidR="008B4B50" w:rsidRPr="00912C8A">
        <w:rPr>
          <w:rFonts w:ascii="Times New Roman" w:hAnsi="Times New Roman" w:cs="Times New Roman"/>
          <w:sz w:val="24"/>
          <w:szCs w:val="24"/>
          <w:lang w:val="es-ES"/>
        </w:rPr>
        <w:t xml:space="preserve">tres nuevas líneas diferenciadas, dos estatales y una regional, todas ellas ancladas en el </w:t>
      </w:r>
      <w:r w:rsidR="00A24C62" w:rsidRPr="00912C8A">
        <w:rPr>
          <w:rFonts w:ascii="Times New Roman" w:hAnsi="Times New Roman" w:cs="Times New Roman"/>
          <w:sz w:val="24"/>
          <w:szCs w:val="24"/>
          <w:lang w:val="es-ES"/>
        </w:rPr>
        <w:t>año</w:t>
      </w:r>
      <w:r w:rsidR="003E0FA3" w:rsidRPr="00912C8A">
        <w:rPr>
          <w:rFonts w:ascii="Times New Roman" w:hAnsi="Times New Roman" w:cs="Times New Roman"/>
          <w:sz w:val="24"/>
          <w:szCs w:val="24"/>
          <w:lang w:val="es-ES"/>
        </w:rPr>
        <w:t xml:space="preserve"> previo a la crisis</w:t>
      </w:r>
      <w:r w:rsidR="00B14ADE" w:rsidRPr="00912C8A">
        <w:rPr>
          <w:rFonts w:ascii="Times New Roman" w:hAnsi="Times New Roman" w:cs="Times New Roman"/>
          <w:sz w:val="24"/>
          <w:szCs w:val="24"/>
          <w:lang w:val="es-ES"/>
        </w:rPr>
        <w:t>, año 2008</w:t>
      </w:r>
      <w:r w:rsidR="00B14ADE" w:rsidRPr="00912C8A">
        <w:rPr>
          <w:rStyle w:val="Refdenotaalpie"/>
          <w:rFonts w:ascii="Times New Roman" w:hAnsi="Times New Roman" w:cs="Times New Roman"/>
          <w:sz w:val="24"/>
          <w:szCs w:val="24"/>
          <w:lang w:val="es-ES"/>
        </w:rPr>
        <w:footnoteReference w:id="4"/>
      </w:r>
      <w:r w:rsidR="00B14ADE" w:rsidRPr="00912C8A">
        <w:rPr>
          <w:rFonts w:ascii="Times New Roman" w:hAnsi="Times New Roman" w:cs="Times New Roman"/>
          <w:sz w:val="24"/>
          <w:szCs w:val="24"/>
          <w:lang w:val="es-ES"/>
        </w:rPr>
        <w:t>, y calculadas a partir de las variables antes definidas.</w:t>
      </w:r>
      <w:r w:rsidR="008B4B50" w:rsidRPr="00912C8A">
        <w:rPr>
          <w:rFonts w:ascii="Times New Roman" w:hAnsi="Times New Roman" w:cs="Times New Roman"/>
          <w:sz w:val="24"/>
          <w:szCs w:val="24"/>
          <w:lang w:val="es-ES"/>
        </w:rPr>
        <w:t xml:space="preserve"> </w:t>
      </w:r>
      <w:r w:rsidR="001B1A6D" w:rsidRPr="00912C8A">
        <w:rPr>
          <w:rFonts w:ascii="Times New Roman" w:hAnsi="Times New Roman" w:cs="Times New Roman"/>
          <w:sz w:val="24"/>
          <w:szCs w:val="24"/>
          <w:lang w:val="es-ES"/>
        </w:rPr>
        <w:t>En resumen,</w:t>
      </w:r>
    </w:p>
    <w:p w:rsidR="008B4B50" w:rsidRPr="00912C8A" w:rsidRDefault="008B4B50" w:rsidP="00912C8A">
      <w:pPr>
        <w:spacing w:before="120" w:after="120" w:line="360" w:lineRule="auto"/>
        <w:ind w:left="1134" w:hanging="1134"/>
        <w:jc w:val="both"/>
        <w:rPr>
          <w:rFonts w:ascii="Times New Roman" w:hAnsi="Times New Roman" w:cs="Times New Roman"/>
          <w:sz w:val="24"/>
          <w:szCs w:val="24"/>
          <w:lang w:val="es-ES"/>
        </w:rPr>
      </w:pPr>
      <w:proofErr w:type="spellStart"/>
      <w:r w:rsidRPr="00912C8A">
        <w:rPr>
          <w:rFonts w:ascii="Times New Roman" w:hAnsi="Times New Roman" w:cs="Times New Roman"/>
          <w:sz w:val="24"/>
          <w:szCs w:val="24"/>
          <w:lang w:val="es-ES"/>
        </w:rPr>
        <w:t>Lp</w:t>
      </w:r>
      <w:proofErr w:type="spellEnd"/>
      <w:r w:rsidRPr="00912C8A">
        <w:rPr>
          <w:rFonts w:ascii="Times New Roman" w:hAnsi="Times New Roman" w:cs="Times New Roman"/>
          <w:sz w:val="24"/>
          <w:szCs w:val="24"/>
          <w:lang w:val="es-ES"/>
        </w:rPr>
        <w:t xml:space="preserve"> (t) </w:t>
      </w:r>
      <w:r w:rsidR="00BE1AB7" w:rsidRPr="00912C8A">
        <w:rPr>
          <w:rFonts w:ascii="Times New Roman" w:hAnsi="Times New Roman" w:cs="Times New Roman"/>
          <w:sz w:val="24"/>
          <w:szCs w:val="24"/>
          <w:lang w:val="es-ES"/>
        </w:rPr>
        <w:t xml:space="preserve">    </w:t>
      </w:r>
      <w:r w:rsidRPr="00912C8A">
        <w:rPr>
          <w:rFonts w:ascii="Times New Roman" w:hAnsi="Times New Roman" w:cs="Times New Roman"/>
          <w:sz w:val="24"/>
          <w:szCs w:val="24"/>
          <w:lang w:val="es-ES"/>
        </w:rPr>
        <w:t xml:space="preserve">= </w:t>
      </w:r>
      <w:r w:rsidR="00BE1AB7" w:rsidRPr="00912C8A">
        <w:rPr>
          <w:rFonts w:ascii="Times New Roman" w:hAnsi="Times New Roman" w:cs="Times New Roman"/>
          <w:sz w:val="24"/>
          <w:szCs w:val="24"/>
          <w:lang w:val="es-ES"/>
        </w:rPr>
        <w:t xml:space="preserve"> </w:t>
      </w:r>
      <w:r w:rsidRPr="00912C8A">
        <w:rPr>
          <w:rFonts w:ascii="Times New Roman" w:hAnsi="Times New Roman" w:cs="Times New Roman"/>
          <w:sz w:val="24"/>
          <w:szCs w:val="24"/>
          <w:lang w:val="es-ES"/>
        </w:rPr>
        <w:t xml:space="preserve">60% de la mediana estatal de la variable </w:t>
      </w:r>
      <w:r w:rsidR="00BE1AB7" w:rsidRPr="00912C8A">
        <w:rPr>
          <w:rFonts w:ascii="Times New Roman" w:hAnsi="Times New Roman" w:cs="Times New Roman"/>
          <w:sz w:val="24"/>
          <w:szCs w:val="24"/>
          <w:lang w:val="es-ES"/>
        </w:rPr>
        <w:t xml:space="preserve">IDE en </w:t>
      </w:r>
      <w:r w:rsidR="00076B9C" w:rsidRPr="00912C8A">
        <w:rPr>
          <w:rFonts w:ascii="Times New Roman" w:hAnsi="Times New Roman" w:cs="Times New Roman"/>
          <w:sz w:val="24"/>
          <w:szCs w:val="24"/>
          <w:lang w:val="es-ES"/>
        </w:rPr>
        <w:t>cada año</w:t>
      </w:r>
      <w:r w:rsidR="00BE1AB7" w:rsidRPr="00912C8A">
        <w:rPr>
          <w:rFonts w:ascii="Times New Roman" w:hAnsi="Times New Roman" w:cs="Times New Roman"/>
          <w:sz w:val="24"/>
          <w:szCs w:val="24"/>
          <w:lang w:val="es-ES"/>
        </w:rPr>
        <w:t xml:space="preserve"> </w:t>
      </w:r>
      <w:r w:rsidRPr="00912C8A">
        <w:rPr>
          <w:rFonts w:ascii="Times New Roman" w:hAnsi="Times New Roman" w:cs="Times New Roman"/>
          <w:sz w:val="24"/>
          <w:szCs w:val="24"/>
          <w:lang w:val="es-ES"/>
        </w:rPr>
        <w:t>t.</w:t>
      </w:r>
      <w:r w:rsidR="0042311C" w:rsidRPr="00912C8A">
        <w:rPr>
          <w:rFonts w:ascii="Times New Roman" w:hAnsi="Times New Roman" w:cs="Times New Roman"/>
          <w:sz w:val="24"/>
          <w:szCs w:val="24"/>
          <w:lang w:val="es-ES"/>
        </w:rPr>
        <w:t xml:space="preserve"> Línea estatal, e</w:t>
      </w:r>
      <w:r w:rsidR="00076B9C" w:rsidRPr="00912C8A">
        <w:rPr>
          <w:rFonts w:ascii="Times New Roman" w:hAnsi="Times New Roman" w:cs="Times New Roman"/>
          <w:sz w:val="24"/>
          <w:szCs w:val="24"/>
          <w:lang w:val="es-ES"/>
        </w:rPr>
        <w:t xml:space="preserve">xpresada en unidades monetarias corrientes. </w:t>
      </w:r>
    </w:p>
    <w:p w:rsidR="008B4B50" w:rsidRPr="00912C8A" w:rsidRDefault="008B4B50" w:rsidP="00912C8A">
      <w:pPr>
        <w:spacing w:before="120" w:after="120" w:line="360" w:lineRule="auto"/>
        <w:ind w:left="1134" w:hanging="1134"/>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Lp1</w:t>
      </w:r>
      <w:r w:rsidR="00BE1AB7" w:rsidRPr="00912C8A">
        <w:rPr>
          <w:rFonts w:ascii="Times New Roman" w:hAnsi="Times New Roman" w:cs="Times New Roman"/>
          <w:sz w:val="24"/>
          <w:szCs w:val="24"/>
          <w:lang w:val="es-ES"/>
        </w:rPr>
        <w:t xml:space="preserve"> (08</w:t>
      </w:r>
      <w:r w:rsidRPr="00912C8A">
        <w:rPr>
          <w:rFonts w:ascii="Times New Roman" w:hAnsi="Times New Roman" w:cs="Times New Roman"/>
          <w:sz w:val="24"/>
          <w:szCs w:val="24"/>
          <w:lang w:val="es-ES"/>
        </w:rPr>
        <w:t xml:space="preserve">) = 60% de la mediana estatal del IDE (ídem para el IDEI) </w:t>
      </w:r>
      <w:r w:rsidR="00076B9C" w:rsidRPr="00912C8A">
        <w:rPr>
          <w:rFonts w:ascii="Times New Roman" w:hAnsi="Times New Roman" w:cs="Times New Roman"/>
          <w:sz w:val="24"/>
          <w:szCs w:val="24"/>
          <w:lang w:val="es-ES"/>
        </w:rPr>
        <w:t xml:space="preserve">del </w:t>
      </w:r>
      <w:r w:rsidR="00BE1AB7" w:rsidRPr="00912C8A">
        <w:rPr>
          <w:rFonts w:ascii="Times New Roman" w:hAnsi="Times New Roman" w:cs="Times New Roman"/>
          <w:sz w:val="24"/>
          <w:szCs w:val="24"/>
          <w:lang w:val="es-ES"/>
        </w:rPr>
        <w:t>año 2008 (ingresos de 2007)</w:t>
      </w:r>
      <w:r w:rsidR="00076B9C" w:rsidRPr="00912C8A">
        <w:rPr>
          <w:rFonts w:ascii="Times New Roman" w:hAnsi="Times New Roman" w:cs="Times New Roman"/>
          <w:sz w:val="24"/>
          <w:szCs w:val="24"/>
          <w:lang w:val="es-ES"/>
        </w:rPr>
        <w:t xml:space="preserve">. </w:t>
      </w:r>
      <w:r w:rsidR="0042311C" w:rsidRPr="00912C8A">
        <w:rPr>
          <w:rFonts w:ascii="Times New Roman" w:hAnsi="Times New Roman" w:cs="Times New Roman"/>
          <w:sz w:val="24"/>
          <w:szCs w:val="24"/>
          <w:lang w:val="es-ES"/>
        </w:rPr>
        <w:t>Línea estatal y</w:t>
      </w:r>
      <w:r w:rsidR="00DB118C" w:rsidRPr="00912C8A">
        <w:rPr>
          <w:rFonts w:ascii="Times New Roman" w:hAnsi="Times New Roman" w:cs="Times New Roman"/>
          <w:sz w:val="24"/>
          <w:szCs w:val="24"/>
          <w:lang w:val="es-ES"/>
        </w:rPr>
        <w:t xml:space="preserve"> c</w:t>
      </w:r>
      <w:r w:rsidR="00076B9C" w:rsidRPr="00912C8A">
        <w:rPr>
          <w:rFonts w:ascii="Times New Roman" w:hAnsi="Times New Roman" w:cs="Times New Roman"/>
          <w:sz w:val="24"/>
          <w:szCs w:val="24"/>
          <w:lang w:val="es-ES"/>
        </w:rPr>
        <w:t>onstante.</w:t>
      </w:r>
    </w:p>
    <w:p w:rsidR="00BE1AB7" w:rsidRPr="00912C8A" w:rsidRDefault="008B4B50" w:rsidP="00912C8A">
      <w:pPr>
        <w:spacing w:before="120" w:after="120" w:line="360" w:lineRule="auto"/>
        <w:ind w:left="1134" w:hanging="1134"/>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Lp2</w:t>
      </w:r>
      <w:r w:rsidR="00BE1AB7" w:rsidRPr="00912C8A">
        <w:rPr>
          <w:rFonts w:ascii="Times New Roman" w:hAnsi="Times New Roman" w:cs="Times New Roman"/>
          <w:sz w:val="24"/>
          <w:szCs w:val="24"/>
          <w:lang w:val="es-ES"/>
        </w:rPr>
        <w:t xml:space="preserve"> (08</w:t>
      </w:r>
      <w:r w:rsidRPr="00912C8A">
        <w:rPr>
          <w:rFonts w:ascii="Times New Roman" w:hAnsi="Times New Roman" w:cs="Times New Roman"/>
          <w:sz w:val="24"/>
          <w:szCs w:val="24"/>
          <w:lang w:val="es-ES"/>
        </w:rPr>
        <w:t xml:space="preserve">) = 60% de la mediana estatal del IDEP (ídem </w:t>
      </w:r>
      <w:r w:rsidR="00BE1AB7" w:rsidRPr="00912C8A">
        <w:rPr>
          <w:rFonts w:ascii="Times New Roman" w:hAnsi="Times New Roman" w:cs="Times New Roman"/>
          <w:sz w:val="24"/>
          <w:szCs w:val="24"/>
          <w:lang w:val="es-ES"/>
        </w:rPr>
        <w:t>para el IDEIP)</w:t>
      </w:r>
      <w:r w:rsidRPr="00912C8A">
        <w:rPr>
          <w:rFonts w:ascii="Times New Roman" w:hAnsi="Times New Roman" w:cs="Times New Roman"/>
          <w:sz w:val="24"/>
          <w:szCs w:val="24"/>
          <w:lang w:val="es-ES"/>
        </w:rPr>
        <w:t xml:space="preserve"> </w:t>
      </w:r>
      <w:r w:rsidR="00076B9C" w:rsidRPr="00912C8A">
        <w:rPr>
          <w:rFonts w:ascii="Times New Roman" w:hAnsi="Times New Roman" w:cs="Times New Roman"/>
          <w:sz w:val="24"/>
          <w:szCs w:val="24"/>
          <w:lang w:val="es-ES"/>
        </w:rPr>
        <w:t>d</w:t>
      </w:r>
      <w:r w:rsidR="00BE1AB7" w:rsidRPr="00912C8A">
        <w:rPr>
          <w:rFonts w:ascii="Times New Roman" w:hAnsi="Times New Roman" w:cs="Times New Roman"/>
          <w:sz w:val="24"/>
          <w:szCs w:val="24"/>
          <w:lang w:val="es-ES"/>
        </w:rPr>
        <w:t>el año 2008 (ingresos de 2007)</w:t>
      </w:r>
      <w:r w:rsidR="00076B9C" w:rsidRPr="00912C8A">
        <w:rPr>
          <w:rFonts w:ascii="Times New Roman" w:hAnsi="Times New Roman" w:cs="Times New Roman"/>
          <w:sz w:val="24"/>
          <w:szCs w:val="24"/>
          <w:lang w:val="es-ES"/>
        </w:rPr>
        <w:t xml:space="preserve">. </w:t>
      </w:r>
      <w:r w:rsidR="002F0634" w:rsidRPr="00912C8A">
        <w:rPr>
          <w:rFonts w:ascii="Times New Roman" w:hAnsi="Times New Roman" w:cs="Times New Roman"/>
          <w:sz w:val="24"/>
          <w:szCs w:val="24"/>
          <w:lang w:val="es-ES"/>
        </w:rPr>
        <w:t>Línea estatal, constante</w:t>
      </w:r>
      <w:r w:rsidR="00076B9C" w:rsidRPr="00912C8A">
        <w:rPr>
          <w:rFonts w:ascii="Times New Roman" w:hAnsi="Times New Roman" w:cs="Times New Roman"/>
          <w:sz w:val="24"/>
          <w:szCs w:val="24"/>
          <w:lang w:val="es-ES"/>
        </w:rPr>
        <w:t>.</w:t>
      </w:r>
    </w:p>
    <w:p w:rsidR="00BE1AB7" w:rsidRPr="00912C8A" w:rsidRDefault="00BE1AB7" w:rsidP="00912C8A">
      <w:pPr>
        <w:spacing w:before="120" w:after="120" w:line="360" w:lineRule="auto"/>
        <w:ind w:left="1134" w:hanging="1134"/>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 xml:space="preserve">Lp3 (08) = 60% de las medianas regionales de la variable IDE (ídem para el IDEI) </w:t>
      </w:r>
      <w:r w:rsidR="00076B9C" w:rsidRPr="00912C8A">
        <w:rPr>
          <w:rFonts w:ascii="Times New Roman" w:hAnsi="Times New Roman" w:cs="Times New Roman"/>
          <w:sz w:val="24"/>
          <w:szCs w:val="24"/>
          <w:lang w:val="es-ES"/>
        </w:rPr>
        <w:t>d</w:t>
      </w:r>
      <w:r w:rsidRPr="00912C8A">
        <w:rPr>
          <w:rFonts w:ascii="Times New Roman" w:hAnsi="Times New Roman" w:cs="Times New Roman"/>
          <w:sz w:val="24"/>
          <w:szCs w:val="24"/>
          <w:lang w:val="es-ES"/>
        </w:rPr>
        <w:t>el año 2008 (ingresos de 2007)</w:t>
      </w:r>
      <w:r w:rsidR="002F0634" w:rsidRPr="00912C8A">
        <w:rPr>
          <w:rFonts w:ascii="Times New Roman" w:hAnsi="Times New Roman" w:cs="Times New Roman"/>
          <w:sz w:val="24"/>
          <w:szCs w:val="24"/>
          <w:lang w:val="es-ES"/>
        </w:rPr>
        <w:t>. Líneas regionales,</w:t>
      </w:r>
      <w:r w:rsidR="00DB118C" w:rsidRPr="00912C8A">
        <w:rPr>
          <w:rFonts w:ascii="Times New Roman" w:hAnsi="Times New Roman" w:cs="Times New Roman"/>
          <w:sz w:val="24"/>
          <w:szCs w:val="24"/>
          <w:lang w:val="es-ES"/>
        </w:rPr>
        <w:t xml:space="preserve"> constante</w:t>
      </w:r>
      <w:r w:rsidR="002F0634" w:rsidRPr="00912C8A">
        <w:rPr>
          <w:rFonts w:ascii="Times New Roman" w:hAnsi="Times New Roman" w:cs="Times New Roman"/>
          <w:sz w:val="24"/>
          <w:szCs w:val="24"/>
          <w:lang w:val="es-ES"/>
        </w:rPr>
        <w:t>s</w:t>
      </w:r>
      <w:r w:rsidR="00DB118C" w:rsidRPr="00912C8A">
        <w:rPr>
          <w:rFonts w:ascii="Times New Roman" w:hAnsi="Times New Roman" w:cs="Times New Roman"/>
          <w:sz w:val="24"/>
          <w:szCs w:val="24"/>
          <w:lang w:val="es-ES"/>
        </w:rPr>
        <w:t>.</w:t>
      </w:r>
    </w:p>
    <w:p w:rsidR="007A6B08" w:rsidRPr="00912C8A" w:rsidRDefault="007A6B08" w:rsidP="00912C8A">
      <w:pPr>
        <w:autoSpaceDE w:val="0"/>
        <w:autoSpaceDN w:val="0"/>
        <w:adjustRightInd w:val="0"/>
        <w:spacing w:before="120" w:after="120" w:line="360" w:lineRule="auto"/>
        <w:jc w:val="both"/>
        <w:rPr>
          <w:rFonts w:ascii="Times New Roman" w:hAnsi="Times New Roman" w:cs="Times New Roman"/>
          <w:sz w:val="24"/>
          <w:szCs w:val="24"/>
          <w:lang w:val="es-ES"/>
        </w:rPr>
      </w:pPr>
      <w:r w:rsidRPr="00090DBD">
        <w:rPr>
          <w:rFonts w:ascii="Times New Roman" w:hAnsi="Times New Roman" w:cs="Times New Roman"/>
          <w:sz w:val="24"/>
          <w:szCs w:val="24"/>
          <w:lang w:val="es-ES"/>
        </w:rPr>
        <w:t xml:space="preserve">Esta </w:t>
      </w:r>
      <w:r w:rsidR="0024267A" w:rsidRPr="00090DBD">
        <w:rPr>
          <w:rFonts w:ascii="Times New Roman" w:hAnsi="Times New Roman" w:cs="Times New Roman"/>
          <w:sz w:val="24"/>
          <w:szCs w:val="24"/>
          <w:lang w:val="es-ES"/>
        </w:rPr>
        <w:t>propuesta</w:t>
      </w:r>
      <w:r w:rsidRPr="00090DBD">
        <w:rPr>
          <w:rFonts w:ascii="Times New Roman" w:hAnsi="Times New Roman" w:cs="Times New Roman"/>
          <w:sz w:val="24"/>
          <w:szCs w:val="24"/>
          <w:lang w:val="es-ES"/>
        </w:rPr>
        <w:t xml:space="preserve"> de anclar </w:t>
      </w:r>
      <w:r w:rsidR="001B1A6D" w:rsidRPr="00090DBD">
        <w:rPr>
          <w:rFonts w:ascii="Times New Roman" w:hAnsi="Times New Roman" w:cs="Times New Roman"/>
          <w:sz w:val="24"/>
          <w:szCs w:val="24"/>
          <w:lang w:val="es-ES"/>
        </w:rPr>
        <w:t>el umbral de pobreza</w:t>
      </w:r>
      <w:r w:rsidRPr="00090DBD">
        <w:rPr>
          <w:rFonts w:ascii="Times New Roman" w:hAnsi="Times New Roman" w:cs="Times New Roman"/>
          <w:sz w:val="24"/>
          <w:szCs w:val="24"/>
          <w:lang w:val="es-ES"/>
        </w:rPr>
        <w:t xml:space="preserve"> en un año concreto y mantenerl</w:t>
      </w:r>
      <w:r w:rsidR="001B1A6D" w:rsidRPr="00090DBD">
        <w:rPr>
          <w:rFonts w:ascii="Times New Roman" w:hAnsi="Times New Roman" w:cs="Times New Roman"/>
          <w:sz w:val="24"/>
          <w:szCs w:val="24"/>
          <w:lang w:val="es-ES"/>
        </w:rPr>
        <w:t>o</w:t>
      </w:r>
      <w:r w:rsidRPr="00090DBD">
        <w:rPr>
          <w:rFonts w:ascii="Times New Roman" w:hAnsi="Times New Roman" w:cs="Times New Roman"/>
          <w:sz w:val="24"/>
          <w:szCs w:val="24"/>
          <w:lang w:val="es-ES"/>
        </w:rPr>
        <w:t xml:space="preserve"> constante a l</w:t>
      </w:r>
      <w:r w:rsidR="001B1A6D" w:rsidRPr="00090DBD">
        <w:rPr>
          <w:rFonts w:ascii="Times New Roman" w:hAnsi="Times New Roman" w:cs="Times New Roman"/>
          <w:sz w:val="24"/>
          <w:szCs w:val="24"/>
          <w:lang w:val="es-ES"/>
        </w:rPr>
        <w:t>o largo del período en análisis</w:t>
      </w:r>
      <w:r w:rsidR="009F2550" w:rsidRPr="00090DBD">
        <w:rPr>
          <w:rFonts w:ascii="Times New Roman" w:hAnsi="Times New Roman" w:cs="Times New Roman"/>
          <w:sz w:val="24"/>
          <w:szCs w:val="24"/>
          <w:lang w:val="es-ES"/>
        </w:rPr>
        <w:t xml:space="preserve"> y/o expresar las rentas en paridades</w:t>
      </w:r>
      <w:r w:rsidR="0024267A" w:rsidRPr="00090DBD">
        <w:rPr>
          <w:rFonts w:ascii="Times New Roman" w:hAnsi="Times New Roman" w:cs="Times New Roman"/>
          <w:sz w:val="24"/>
          <w:szCs w:val="24"/>
          <w:lang w:val="es-ES"/>
        </w:rPr>
        <w:t xml:space="preserve">, </w:t>
      </w:r>
      <w:r w:rsidR="003D330F" w:rsidRPr="00090DBD">
        <w:rPr>
          <w:rFonts w:ascii="Times New Roman" w:hAnsi="Times New Roman" w:cs="Times New Roman"/>
          <w:sz w:val="24"/>
          <w:szCs w:val="24"/>
          <w:lang w:val="es-ES"/>
        </w:rPr>
        <w:t>siendo una propuesta nueva, recientemente sí hemos visto que empieza a ser objeto de consideración. Muestra de ello es</w:t>
      </w:r>
      <w:r w:rsidR="00107785" w:rsidRPr="00090DBD">
        <w:rPr>
          <w:rFonts w:ascii="Times New Roman" w:hAnsi="Times New Roman" w:cs="Times New Roman"/>
          <w:sz w:val="24"/>
          <w:szCs w:val="24"/>
          <w:lang w:val="es-ES"/>
        </w:rPr>
        <w:t xml:space="preserve"> que a título complementario</w:t>
      </w:r>
      <w:r w:rsidR="003D330F" w:rsidRPr="00090DBD">
        <w:rPr>
          <w:rFonts w:ascii="Times New Roman" w:hAnsi="Times New Roman" w:cs="Times New Roman"/>
          <w:sz w:val="24"/>
          <w:szCs w:val="24"/>
          <w:lang w:val="es-ES"/>
        </w:rPr>
        <w:t xml:space="preserve"> el Instituto Nacional de </w:t>
      </w:r>
      <w:proofErr w:type="spellStart"/>
      <w:r w:rsidR="003D330F" w:rsidRPr="00090DBD">
        <w:rPr>
          <w:rFonts w:ascii="Times New Roman" w:hAnsi="Times New Roman" w:cs="Times New Roman"/>
          <w:sz w:val="24"/>
          <w:szCs w:val="24"/>
          <w:lang w:val="es-ES"/>
        </w:rPr>
        <w:t>Estatística</w:t>
      </w:r>
      <w:proofErr w:type="spellEnd"/>
      <w:r w:rsidR="003D330F" w:rsidRPr="00090DBD">
        <w:rPr>
          <w:rFonts w:ascii="Times New Roman" w:hAnsi="Times New Roman" w:cs="Times New Roman"/>
          <w:sz w:val="24"/>
          <w:szCs w:val="24"/>
          <w:lang w:val="es-ES"/>
        </w:rPr>
        <w:t xml:space="preserve"> de Portugal</w:t>
      </w:r>
      <w:r w:rsidR="00090DBD" w:rsidRPr="00090DBD">
        <w:rPr>
          <w:rFonts w:ascii="Times New Roman" w:hAnsi="Times New Roman" w:cs="Times New Roman"/>
          <w:sz w:val="24"/>
          <w:szCs w:val="24"/>
          <w:lang w:val="es-ES"/>
        </w:rPr>
        <w:t xml:space="preserve"> (INE)</w:t>
      </w:r>
      <w:r w:rsidR="00107785" w:rsidRPr="00090DBD">
        <w:rPr>
          <w:rFonts w:ascii="Times New Roman" w:hAnsi="Times New Roman" w:cs="Times New Roman"/>
          <w:sz w:val="24"/>
          <w:szCs w:val="24"/>
          <w:lang w:val="es-ES"/>
        </w:rPr>
        <w:t>,</w:t>
      </w:r>
      <w:r w:rsidR="003D330F" w:rsidRPr="00090DBD">
        <w:rPr>
          <w:rFonts w:ascii="Times New Roman" w:hAnsi="Times New Roman" w:cs="Times New Roman"/>
          <w:sz w:val="24"/>
          <w:szCs w:val="24"/>
          <w:lang w:val="es-ES"/>
        </w:rPr>
        <w:t xml:space="preserve"> </w:t>
      </w:r>
      <w:r w:rsidR="00757BB5" w:rsidRPr="00090DBD">
        <w:rPr>
          <w:rFonts w:ascii="Times New Roman" w:hAnsi="Times New Roman" w:cs="Times New Roman"/>
          <w:sz w:val="24"/>
          <w:szCs w:val="24"/>
          <w:lang w:val="es-ES"/>
        </w:rPr>
        <w:t xml:space="preserve">en </w:t>
      </w:r>
      <w:r w:rsidR="00090DBD" w:rsidRPr="00090DBD">
        <w:rPr>
          <w:rFonts w:ascii="Times New Roman" w:hAnsi="Times New Roman" w:cs="Times New Roman"/>
          <w:sz w:val="24"/>
          <w:szCs w:val="24"/>
          <w:lang w:val="es-ES"/>
        </w:rPr>
        <w:t>el</w:t>
      </w:r>
      <w:r w:rsidR="00757BB5" w:rsidRPr="00090DBD">
        <w:rPr>
          <w:rFonts w:ascii="Times New Roman" w:hAnsi="Times New Roman" w:cs="Times New Roman"/>
          <w:sz w:val="24"/>
          <w:szCs w:val="24"/>
          <w:lang w:val="es-ES"/>
        </w:rPr>
        <w:t xml:space="preserve"> informe </w:t>
      </w:r>
      <w:r w:rsidR="00090DBD" w:rsidRPr="00090DBD">
        <w:rPr>
          <w:rFonts w:ascii="Times New Roman" w:hAnsi="Times New Roman" w:cs="Times New Roman"/>
          <w:sz w:val="24"/>
          <w:szCs w:val="24"/>
          <w:lang w:val="es-ES"/>
        </w:rPr>
        <w:t>del 24 de marzo de 2014 de resultados</w:t>
      </w:r>
      <w:r w:rsidR="00757BB5" w:rsidRPr="00090DBD">
        <w:rPr>
          <w:rFonts w:ascii="Times New Roman" w:hAnsi="Times New Roman" w:cs="Times New Roman"/>
          <w:sz w:val="24"/>
          <w:szCs w:val="24"/>
          <w:lang w:val="es-ES"/>
        </w:rPr>
        <w:t xml:space="preserve"> </w:t>
      </w:r>
      <w:r w:rsidR="00CB19B4" w:rsidRPr="00090DBD">
        <w:rPr>
          <w:rFonts w:ascii="Times New Roman" w:hAnsi="Times New Roman" w:cs="Times New Roman"/>
          <w:sz w:val="24"/>
          <w:szCs w:val="24"/>
          <w:lang w:val="es-ES"/>
        </w:rPr>
        <w:t xml:space="preserve">del </w:t>
      </w:r>
      <w:proofErr w:type="spellStart"/>
      <w:r w:rsidR="00090DBD" w:rsidRPr="00090DBD">
        <w:rPr>
          <w:rFonts w:ascii="Times New Roman" w:hAnsi="Times New Roman" w:cs="Times New Roman"/>
          <w:sz w:val="24"/>
          <w:szCs w:val="24"/>
          <w:lang w:val="es-ES"/>
        </w:rPr>
        <w:t>Inquérito</w:t>
      </w:r>
      <w:proofErr w:type="spellEnd"/>
      <w:r w:rsidR="00090DBD" w:rsidRPr="00090DBD">
        <w:rPr>
          <w:rFonts w:ascii="Times New Roman" w:hAnsi="Times New Roman" w:cs="Times New Roman"/>
          <w:sz w:val="24"/>
          <w:szCs w:val="24"/>
          <w:lang w:val="es-ES"/>
        </w:rPr>
        <w:t xml:space="preserve"> </w:t>
      </w:r>
      <w:proofErr w:type="spellStart"/>
      <w:r w:rsidR="00090DBD" w:rsidRPr="00090DBD">
        <w:rPr>
          <w:rFonts w:ascii="Times New Roman" w:hAnsi="Times New Roman" w:cs="Times New Roman"/>
          <w:sz w:val="24"/>
          <w:szCs w:val="24"/>
          <w:lang w:val="es-ES"/>
        </w:rPr>
        <w:t>às</w:t>
      </w:r>
      <w:proofErr w:type="spellEnd"/>
      <w:r w:rsidR="00090DBD" w:rsidRPr="00090DBD">
        <w:rPr>
          <w:rFonts w:ascii="Times New Roman" w:hAnsi="Times New Roman" w:cs="Times New Roman"/>
          <w:sz w:val="24"/>
          <w:szCs w:val="24"/>
          <w:lang w:val="es-ES"/>
        </w:rPr>
        <w:t xml:space="preserve"> </w:t>
      </w:r>
      <w:proofErr w:type="spellStart"/>
      <w:r w:rsidR="00090DBD" w:rsidRPr="00090DBD">
        <w:rPr>
          <w:rFonts w:ascii="Times New Roman" w:hAnsi="Times New Roman" w:cs="Times New Roman"/>
          <w:sz w:val="24"/>
          <w:szCs w:val="24"/>
          <w:lang w:val="es-ES"/>
        </w:rPr>
        <w:t>Condições</w:t>
      </w:r>
      <w:proofErr w:type="spellEnd"/>
      <w:r w:rsidR="00090DBD" w:rsidRPr="00090DBD">
        <w:rPr>
          <w:rFonts w:ascii="Times New Roman" w:hAnsi="Times New Roman" w:cs="Times New Roman"/>
          <w:sz w:val="24"/>
          <w:szCs w:val="24"/>
          <w:lang w:val="es-ES"/>
        </w:rPr>
        <w:t xml:space="preserve"> de Vida e </w:t>
      </w:r>
      <w:proofErr w:type="spellStart"/>
      <w:r w:rsidR="00090DBD" w:rsidRPr="00090DBD">
        <w:rPr>
          <w:rFonts w:ascii="Times New Roman" w:hAnsi="Times New Roman" w:cs="Times New Roman"/>
          <w:sz w:val="24"/>
          <w:szCs w:val="24"/>
          <w:lang w:val="es-ES"/>
        </w:rPr>
        <w:t>Rendimento</w:t>
      </w:r>
      <w:proofErr w:type="spellEnd"/>
      <w:r w:rsidR="00090DBD" w:rsidRPr="00090DBD">
        <w:rPr>
          <w:rFonts w:ascii="Tahoma" w:hAnsi="Tahoma" w:cs="Tahoma"/>
          <w:sz w:val="20"/>
          <w:szCs w:val="20"/>
          <w:lang w:val="es-ES"/>
        </w:rPr>
        <w:t xml:space="preserve"> (</w:t>
      </w:r>
      <w:r w:rsidR="00CB19B4" w:rsidRPr="00090DBD">
        <w:rPr>
          <w:rFonts w:ascii="Times New Roman" w:hAnsi="Times New Roman" w:cs="Times New Roman"/>
          <w:sz w:val="24"/>
          <w:szCs w:val="24"/>
          <w:lang w:val="es-ES"/>
        </w:rPr>
        <w:t>ICOR</w:t>
      </w:r>
      <w:r w:rsidR="00090DBD" w:rsidRPr="00090DBD">
        <w:rPr>
          <w:rFonts w:ascii="Times New Roman" w:hAnsi="Times New Roman" w:cs="Times New Roman"/>
          <w:sz w:val="24"/>
          <w:szCs w:val="24"/>
          <w:lang w:val="es-ES"/>
        </w:rPr>
        <w:t>)</w:t>
      </w:r>
      <w:r w:rsidR="00107785" w:rsidRPr="00090DBD">
        <w:rPr>
          <w:rFonts w:ascii="Times New Roman" w:hAnsi="Times New Roman" w:cs="Times New Roman"/>
          <w:sz w:val="24"/>
          <w:szCs w:val="24"/>
          <w:lang w:val="es-ES"/>
        </w:rPr>
        <w:t>,</w:t>
      </w:r>
      <w:r w:rsidR="00757BB5" w:rsidRPr="00090DBD">
        <w:rPr>
          <w:rFonts w:ascii="Times New Roman" w:hAnsi="Times New Roman" w:cs="Times New Roman"/>
          <w:sz w:val="24"/>
          <w:szCs w:val="24"/>
          <w:lang w:val="es-ES"/>
        </w:rPr>
        <w:t xml:space="preserve"> </w:t>
      </w:r>
      <w:r w:rsidR="00D40766" w:rsidRPr="00090DBD">
        <w:rPr>
          <w:rFonts w:ascii="Times New Roman" w:hAnsi="Times New Roman" w:cs="Times New Roman"/>
          <w:sz w:val="24"/>
          <w:szCs w:val="24"/>
          <w:lang w:val="es-ES"/>
        </w:rPr>
        <w:t>presenta</w:t>
      </w:r>
      <w:r w:rsidR="003D330F" w:rsidRPr="00090DBD">
        <w:rPr>
          <w:rFonts w:ascii="Times New Roman" w:hAnsi="Times New Roman" w:cs="Times New Roman"/>
          <w:sz w:val="24"/>
          <w:szCs w:val="24"/>
          <w:lang w:val="es-ES"/>
        </w:rPr>
        <w:t xml:space="preserve"> una línea de pobreza anclada en 2009 y actualizada en 2010, 2011 y 2012 con base a las variacion</w:t>
      </w:r>
      <w:r w:rsidR="009F2550" w:rsidRPr="00090DBD">
        <w:rPr>
          <w:rFonts w:ascii="Times New Roman" w:hAnsi="Times New Roman" w:cs="Times New Roman"/>
          <w:sz w:val="24"/>
          <w:szCs w:val="24"/>
          <w:lang w:val="es-ES"/>
        </w:rPr>
        <w:t>e</w:t>
      </w:r>
      <w:r w:rsidR="003D330F" w:rsidRPr="00090DBD">
        <w:rPr>
          <w:rFonts w:ascii="Times New Roman" w:hAnsi="Times New Roman" w:cs="Times New Roman"/>
          <w:sz w:val="24"/>
          <w:szCs w:val="24"/>
          <w:lang w:val="es-ES"/>
        </w:rPr>
        <w:t xml:space="preserve">s del índice de precios al </w:t>
      </w:r>
      <w:r w:rsidR="00757BB5" w:rsidRPr="00090DBD">
        <w:rPr>
          <w:rFonts w:ascii="Times New Roman" w:hAnsi="Times New Roman" w:cs="Times New Roman"/>
          <w:sz w:val="24"/>
          <w:szCs w:val="24"/>
          <w:lang w:val="es-ES"/>
        </w:rPr>
        <w:t>consumidor.</w:t>
      </w:r>
      <w:r w:rsidR="00107785" w:rsidRPr="00090DBD">
        <w:rPr>
          <w:rFonts w:ascii="Times New Roman" w:hAnsi="Times New Roman" w:cs="Times New Roman"/>
          <w:sz w:val="24"/>
          <w:szCs w:val="24"/>
          <w:lang w:val="es-ES"/>
        </w:rPr>
        <w:t xml:space="preserve"> Así mismo, Ayala et al (201</w:t>
      </w:r>
      <w:r w:rsidR="0019026C">
        <w:rPr>
          <w:rFonts w:ascii="Times New Roman" w:hAnsi="Times New Roman" w:cs="Times New Roman"/>
          <w:sz w:val="24"/>
          <w:szCs w:val="24"/>
          <w:lang w:val="es-ES"/>
        </w:rPr>
        <w:t>4</w:t>
      </w:r>
      <w:r w:rsidR="00107785" w:rsidRPr="00090DBD">
        <w:rPr>
          <w:rFonts w:ascii="Times New Roman" w:hAnsi="Times New Roman" w:cs="Times New Roman"/>
          <w:sz w:val="24"/>
          <w:szCs w:val="24"/>
          <w:lang w:val="es-ES"/>
        </w:rPr>
        <w:t>), en un interesante estudio sobre la sensibilida</w:t>
      </w:r>
      <w:r w:rsidR="009F2550" w:rsidRPr="00090DBD">
        <w:rPr>
          <w:rFonts w:ascii="Times New Roman" w:hAnsi="Times New Roman" w:cs="Times New Roman"/>
          <w:sz w:val="24"/>
          <w:szCs w:val="24"/>
          <w:lang w:val="es-ES"/>
        </w:rPr>
        <w:t>d de las medidas de pobreza a lo</w:t>
      </w:r>
      <w:r w:rsidR="00107785" w:rsidRPr="00090DBD">
        <w:rPr>
          <w:rFonts w:ascii="Times New Roman" w:hAnsi="Times New Roman" w:cs="Times New Roman"/>
          <w:sz w:val="24"/>
          <w:szCs w:val="24"/>
          <w:lang w:val="es-ES"/>
        </w:rPr>
        <w:t xml:space="preserve">s umbrales elegidos </w:t>
      </w:r>
      <w:r w:rsidR="009F2550" w:rsidRPr="00090DBD">
        <w:rPr>
          <w:rFonts w:ascii="Times New Roman" w:hAnsi="Times New Roman" w:cs="Times New Roman"/>
          <w:sz w:val="24"/>
          <w:szCs w:val="24"/>
          <w:lang w:val="es-ES"/>
        </w:rPr>
        <w:lastRenderedPageBreak/>
        <w:t>establecen, entre otr</w:t>
      </w:r>
      <w:r w:rsidR="00D40766" w:rsidRPr="00090DBD">
        <w:rPr>
          <w:rFonts w:ascii="Times New Roman" w:hAnsi="Times New Roman" w:cs="Times New Roman"/>
          <w:sz w:val="24"/>
          <w:szCs w:val="24"/>
          <w:lang w:val="es-ES"/>
        </w:rPr>
        <w:t>a</w:t>
      </w:r>
      <w:r w:rsidR="009F2550" w:rsidRPr="00090DBD">
        <w:rPr>
          <w:rFonts w:ascii="Times New Roman" w:hAnsi="Times New Roman" w:cs="Times New Roman"/>
          <w:sz w:val="24"/>
          <w:szCs w:val="24"/>
          <w:lang w:val="es-ES"/>
        </w:rPr>
        <w:t>s, líneas estatales ajustadas por las diferencias de precios regionales (PPA).</w:t>
      </w:r>
    </w:p>
    <w:p w:rsidR="00715D9B" w:rsidRPr="00912C8A" w:rsidRDefault="00715D9B" w:rsidP="00912C8A">
      <w:pPr>
        <w:spacing w:before="120" w:after="120" w:line="360" w:lineRule="auto"/>
        <w:jc w:val="both"/>
        <w:rPr>
          <w:rFonts w:ascii="Times New Roman" w:hAnsi="Times New Roman" w:cs="Times New Roman"/>
          <w:sz w:val="24"/>
          <w:szCs w:val="24"/>
          <w:lang w:val="es-ES"/>
        </w:rPr>
      </w:pPr>
      <w:r w:rsidRPr="00912C8A">
        <w:rPr>
          <w:rFonts w:ascii="Times New Roman" w:hAnsi="Times New Roman" w:cs="Times New Roman"/>
          <w:sz w:val="24"/>
          <w:szCs w:val="24"/>
          <w:lang w:val="es-ES"/>
        </w:rPr>
        <w:t>Las líneas de pobreza, calculadas como el 60% de la mediana de los ingresos, se sitúan entre los 7217€ y 7660€ (8800€ aproximadamente, con alquiler imputado), es decir, para que una persona no sea considerada pobre, su renta disponible equivalente debe ser superior a los 7660€ anuales (8800€ si consideramos el alquiler imputado), lo que para un individuo sin cargas familiares equivaldría a cobrar, aproximadamente, el salario mínimo interprofesional durante un año. En cuanto a las líneas regionales utilizadas en Lp3 hay una clara diferencia entre las regiones del norte (con la excepción de Galicia y con la inclusión de la Comunidad de Madrid) y las del sur (con la inclusión de las Islas Canarias), siendo las primeras las que manifiesta unos umbrales mayores lo que puede suponer, en principio, una mayor capacidad para sostener un nivel de vida más elevado (si los precios fuesen iguales).</w:t>
      </w:r>
    </w:p>
    <w:p w:rsidR="00810CBB" w:rsidRPr="002A1746" w:rsidRDefault="00E8263F" w:rsidP="00AD37B1">
      <w:pPr>
        <w:spacing w:before="120" w:after="120" w:line="360" w:lineRule="auto"/>
        <w:rPr>
          <w:rFonts w:ascii="Times New Roman" w:hAnsi="Times New Roman" w:cs="Times New Roman"/>
          <w:sz w:val="24"/>
          <w:szCs w:val="24"/>
          <w:lang w:val="es-ES"/>
        </w:rPr>
      </w:pPr>
      <w:r w:rsidRPr="002A1746">
        <w:rPr>
          <w:rFonts w:ascii="Times New Roman" w:hAnsi="Times New Roman" w:cs="Times New Roman"/>
          <w:sz w:val="24"/>
          <w:szCs w:val="24"/>
          <w:lang w:val="es-ES"/>
        </w:rPr>
        <w:t>Tabla 2: Líneas de pobreza</w:t>
      </w:r>
      <w:r w:rsidR="00421CBE">
        <w:rPr>
          <w:rFonts w:ascii="Times New Roman" w:hAnsi="Times New Roman" w:cs="Times New Roman"/>
          <w:sz w:val="24"/>
          <w:szCs w:val="24"/>
          <w:lang w:val="es-ES"/>
        </w:rPr>
        <w:t xml:space="preserve"> (€)</w:t>
      </w:r>
    </w:p>
    <w:tbl>
      <w:tblPr>
        <w:tblW w:w="5000" w:type="pct"/>
        <w:tblCellMar>
          <w:left w:w="70" w:type="dxa"/>
          <w:right w:w="70" w:type="dxa"/>
        </w:tblCellMar>
        <w:tblLook w:val="04A0" w:firstRow="1" w:lastRow="0" w:firstColumn="1" w:lastColumn="0" w:noHBand="0" w:noVBand="1"/>
      </w:tblPr>
      <w:tblGrid>
        <w:gridCol w:w="3198"/>
        <w:gridCol w:w="1064"/>
        <w:gridCol w:w="1193"/>
        <w:gridCol w:w="1063"/>
        <w:gridCol w:w="1063"/>
        <w:gridCol w:w="1063"/>
      </w:tblGrid>
      <w:tr w:rsidR="00A73362" w:rsidRPr="002A1746" w:rsidTr="00A77BD5">
        <w:trPr>
          <w:trHeight w:val="270"/>
        </w:trPr>
        <w:tc>
          <w:tcPr>
            <w:tcW w:w="1849"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Año</w:t>
            </w:r>
          </w:p>
        </w:tc>
        <w:tc>
          <w:tcPr>
            <w:tcW w:w="615" w:type="pct"/>
            <w:tcBorders>
              <w:top w:val="nil"/>
              <w:left w:val="single" w:sz="8" w:space="0" w:color="auto"/>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2008</w:t>
            </w:r>
          </w:p>
        </w:tc>
        <w:tc>
          <w:tcPr>
            <w:tcW w:w="690"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2009</w:t>
            </w:r>
          </w:p>
        </w:tc>
        <w:tc>
          <w:tcPr>
            <w:tcW w:w="615"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2010</w:t>
            </w:r>
          </w:p>
        </w:tc>
        <w:tc>
          <w:tcPr>
            <w:tcW w:w="615"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2011</w:t>
            </w:r>
          </w:p>
        </w:tc>
        <w:tc>
          <w:tcPr>
            <w:tcW w:w="615" w:type="pct"/>
            <w:tcBorders>
              <w:top w:val="nil"/>
              <w:left w:val="nil"/>
              <w:bottom w:val="single" w:sz="8" w:space="0" w:color="auto"/>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2012</w:t>
            </w:r>
          </w:p>
        </w:tc>
      </w:tr>
      <w:tr w:rsidR="00A73362" w:rsidRPr="002A1746" w:rsidTr="00A77BD5">
        <w:trPr>
          <w:trHeight w:val="270"/>
        </w:trPr>
        <w:tc>
          <w:tcPr>
            <w:tcW w:w="1849" w:type="pct"/>
            <w:tcBorders>
              <w:top w:val="nil"/>
              <w:left w:val="nil"/>
              <w:bottom w:val="single" w:sz="8" w:space="0" w:color="auto"/>
              <w:right w:val="nil"/>
            </w:tcBorders>
            <w:shd w:val="clear" w:color="auto" w:fill="auto"/>
            <w:noWrap/>
            <w:vAlign w:val="bottom"/>
            <w:hideMark/>
          </w:tcPr>
          <w:p w:rsidR="00D1253C" w:rsidRPr="002A1746" w:rsidRDefault="00D1253C" w:rsidP="009B34A6">
            <w:pPr>
              <w:spacing w:after="0" w:line="240" w:lineRule="auto"/>
              <w:jc w:val="right"/>
              <w:rPr>
                <w:rFonts w:ascii="Times New Roman" w:eastAsia="Times New Roman" w:hAnsi="Times New Roman" w:cs="Times New Roman"/>
                <w:sz w:val="24"/>
                <w:szCs w:val="24"/>
                <w:lang w:val="es-ES" w:eastAsia="zh-TW"/>
              </w:rPr>
            </w:pPr>
            <w:proofErr w:type="spellStart"/>
            <w:r w:rsidRPr="002A1746">
              <w:rPr>
                <w:rFonts w:ascii="Times New Roman" w:eastAsia="Times New Roman" w:hAnsi="Times New Roman" w:cs="Times New Roman"/>
                <w:sz w:val="24"/>
                <w:szCs w:val="24"/>
                <w:lang w:val="es-ES" w:eastAsia="zh-TW"/>
              </w:rPr>
              <w:t>Lp</w:t>
            </w:r>
            <w:proofErr w:type="spellEnd"/>
            <w:r w:rsidR="00E8263F" w:rsidRPr="002A1746">
              <w:rPr>
                <w:rFonts w:ascii="Times New Roman" w:eastAsia="Times New Roman" w:hAnsi="Times New Roman" w:cs="Times New Roman"/>
                <w:sz w:val="24"/>
                <w:szCs w:val="24"/>
                <w:lang w:val="es-ES" w:eastAsia="zh-TW"/>
              </w:rPr>
              <w:t xml:space="preserve"> (t)</w:t>
            </w:r>
          </w:p>
        </w:tc>
        <w:tc>
          <w:tcPr>
            <w:tcW w:w="615" w:type="pct"/>
            <w:tcBorders>
              <w:top w:val="nil"/>
              <w:left w:val="single" w:sz="8" w:space="0" w:color="auto"/>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7.580,00</w:t>
            </w:r>
          </w:p>
        </w:tc>
        <w:tc>
          <w:tcPr>
            <w:tcW w:w="690"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7.660,09</w:t>
            </w:r>
          </w:p>
        </w:tc>
        <w:tc>
          <w:tcPr>
            <w:tcW w:w="615"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7.603,30</w:t>
            </w:r>
          </w:p>
        </w:tc>
        <w:tc>
          <w:tcPr>
            <w:tcW w:w="615"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7.340,80</w:t>
            </w:r>
          </w:p>
        </w:tc>
        <w:tc>
          <w:tcPr>
            <w:tcW w:w="615" w:type="pct"/>
            <w:tcBorders>
              <w:top w:val="nil"/>
              <w:left w:val="nil"/>
              <w:bottom w:val="single" w:sz="8" w:space="0" w:color="auto"/>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7.217,26</w:t>
            </w:r>
          </w:p>
        </w:tc>
      </w:tr>
      <w:tr w:rsidR="00A73362" w:rsidRPr="002A1746" w:rsidTr="00A77BD5">
        <w:trPr>
          <w:trHeight w:val="270"/>
        </w:trPr>
        <w:tc>
          <w:tcPr>
            <w:tcW w:w="1849" w:type="pct"/>
            <w:tcBorders>
              <w:top w:val="nil"/>
              <w:left w:val="nil"/>
              <w:bottom w:val="single" w:sz="8" w:space="0" w:color="auto"/>
              <w:right w:val="nil"/>
            </w:tcBorders>
            <w:shd w:val="clear" w:color="auto" w:fill="auto"/>
            <w:noWrap/>
            <w:vAlign w:val="bottom"/>
            <w:hideMark/>
          </w:tcPr>
          <w:p w:rsidR="00D1253C" w:rsidRPr="002A1746" w:rsidRDefault="00D1253C" w:rsidP="009B34A6">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Lp1</w:t>
            </w:r>
            <w:r w:rsidR="00BE1AB7" w:rsidRPr="002A1746">
              <w:rPr>
                <w:rFonts w:ascii="Times New Roman" w:eastAsia="Times New Roman" w:hAnsi="Times New Roman" w:cs="Times New Roman"/>
                <w:sz w:val="24"/>
                <w:szCs w:val="24"/>
                <w:lang w:val="es-ES" w:eastAsia="zh-TW"/>
              </w:rPr>
              <w:t xml:space="preserve"> (08) </w:t>
            </w:r>
            <w:r w:rsidR="009B34A6" w:rsidRPr="002A1746">
              <w:rPr>
                <w:rFonts w:ascii="Times New Roman" w:eastAsia="Times New Roman" w:hAnsi="Times New Roman" w:cs="Times New Roman"/>
                <w:sz w:val="24"/>
                <w:szCs w:val="24"/>
                <w:lang w:val="es-ES" w:eastAsia="zh-TW"/>
              </w:rPr>
              <w:t xml:space="preserve"> IDE</w:t>
            </w:r>
          </w:p>
          <w:p w:rsidR="009B34A6" w:rsidRPr="002A1746" w:rsidRDefault="009B34A6" w:rsidP="009B34A6">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Lp1 (08)  IDEI</w:t>
            </w:r>
          </w:p>
        </w:tc>
        <w:tc>
          <w:tcPr>
            <w:tcW w:w="615" w:type="pct"/>
            <w:tcBorders>
              <w:top w:val="nil"/>
              <w:left w:val="single" w:sz="8" w:space="0" w:color="auto"/>
              <w:bottom w:val="single" w:sz="8" w:space="0" w:color="auto"/>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7.580,00</w:t>
            </w:r>
          </w:p>
          <w:p w:rsidR="00D1253C" w:rsidRPr="002A1746" w:rsidRDefault="00E8263F" w:rsidP="00BE3E5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8.851,51</w:t>
            </w:r>
          </w:p>
        </w:tc>
        <w:tc>
          <w:tcPr>
            <w:tcW w:w="690"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 </w:t>
            </w:r>
          </w:p>
        </w:tc>
        <w:tc>
          <w:tcPr>
            <w:tcW w:w="615" w:type="pct"/>
            <w:tcBorders>
              <w:top w:val="nil"/>
              <w:left w:val="nil"/>
              <w:bottom w:val="single" w:sz="8" w:space="0" w:color="auto"/>
              <w:right w:val="nil"/>
            </w:tcBorders>
            <w:shd w:val="clear" w:color="auto" w:fill="auto"/>
            <w:noWrap/>
            <w:vAlign w:val="bottom"/>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single" w:sz="8" w:space="0" w:color="auto"/>
            </w:tcBorders>
            <w:shd w:val="clear" w:color="auto" w:fill="auto"/>
            <w:noWrap/>
            <w:vAlign w:val="bottom"/>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70"/>
        </w:trPr>
        <w:tc>
          <w:tcPr>
            <w:tcW w:w="1849" w:type="pct"/>
            <w:tcBorders>
              <w:top w:val="nil"/>
              <w:left w:val="nil"/>
              <w:bottom w:val="single" w:sz="8" w:space="0" w:color="auto"/>
              <w:right w:val="nil"/>
            </w:tcBorders>
            <w:shd w:val="clear" w:color="auto" w:fill="auto"/>
            <w:noWrap/>
            <w:vAlign w:val="bottom"/>
            <w:hideMark/>
          </w:tcPr>
          <w:p w:rsidR="00D1253C" w:rsidRPr="002A1746" w:rsidRDefault="00D1253C" w:rsidP="009B34A6">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Lp2</w:t>
            </w:r>
            <w:r w:rsidR="00BE1AB7" w:rsidRPr="002A1746">
              <w:rPr>
                <w:rFonts w:ascii="Times New Roman" w:eastAsia="Times New Roman" w:hAnsi="Times New Roman" w:cs="Times New Roman"/>
                <w:sz w:val="24"/>
                <w:szCs w:val="24"/>
                <w:lang w:val="es-ES" w:eastAsia="zh-TW"/>
              </w:rPr>
              <w:t xml:space="preserve"> (08) </w:t>
            </w:r>
            <w:r w:rsidR="009B34A6" w:rsidRPr="002A1746">
              <w:rPr>
                <w:rFonts w:ascii="Times New Roman" w:eastAsia="Times New Roman" w:hAnsi="Times New Roman" w:cs="Times New Roman"/>
                <w:sz w:val="24"/>
                <w:szCs w:val="24"/>
                <w:lang w:val="es-ES" w:eastAsia="zh-TW"/>
              </w:rPr>
              <w:t xml:space="preserve"> IDEP</w:t>
            </w:r>
          </w:p>
          <w:p w:rsidR="009B34A6" w:rsidRPr="002A1746" w:rsidRDefault="009B34A6" w:rsidP="009B34A6">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 xml:space="preserve"> Lp2 (08)  IDEIP</w:t>
            </w:r>
          </w:p>
        </w:tc>
        <w:tc>
          <w:tcPr>
            <w:tcW w:w="615" w:type="pct"/>
            <w:tcBorders>
              <w:top w:val="nil"/>
              <w:left w:val="single" w:sz="8" w:space="0" w:color="auto"/>
              <w:bottom w:val="single" w:sz="8" w:space="0" w:color="auto"/>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7.552,89</w:t>
            </w:r>
          </w:p>
          <w:p w:rsidR="00D1253C" w:rsidRPr="002A1746" w:rsidRDefault="00E8263F" w:rsidP="00BE3E5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8.809,18</w:t>
            </w:r>
          </w:p>
        </w:tc>
        <w:tc>
          <w:tcPr>
            <w:tcW w:w="690"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single" w:sz="8" w:space="0" w:color="auto"/>
              <w:right w:val="nil"/>
            </w:tcBorders>
            <w:shd w:val="clear" w:color="auto" w:fill="auto"/>
            <w:noWrap/>
            <w:vAlign w:val="bottom"/>
            <w:hideMark/>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 </w:t>
            </w:r>
          </w:p>
        </w:tc>
        <w:tc>
          <w:tcPr>
            <w:tcW w:w="615" w:type="pct"/>
            <w:tcBorders>
              <w:top w:val="nil"/>
              <w:left w:val="nil"/>
              <w:bottom w:val="single" w:sz="8" w:space="0" w:color="auto"/>
              <w:right w:val="nil"/>
            </w:tcBorders>
            <w:shd w:val="clear" w:color="auto" w:fill="auto"/>
            <w:noWrap/>
            <w:vAlign w:val="bottom"/>
          </w:tcPr>
          <w:p w:rsidR="00D1253C" w:rsidRPr="002A1746" w:rsidRDefault="00D1253C" w:rsidP="00E8263F">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single" w:sz="8" w:space="0" w:color="auto"/>
            </w:tcBorders>
            <w:shd w:val="clear" w:color="auto" w:fill="auto"/>
            <w:noWrap/>
            <w:vAlign w:val="bottom"/>
          </w:tcPr>
          <w:p w:rsidR="00D1253C" w:rsidRPr="002A1746" w:rsidRDefault="00D1253C"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9B34A6">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Lp3</w:t>
            </w:r>
            <w:r w:rsidR="009B34A6" w:rsidRPr="002A1746">
              <w:rPr>
                <w:rFonts w:ascii="Times New Roman" w:eastAsia="Times New Roman" w:hAnsi="Times New Roman" w:cs="Times New Roman"/>
                <w:sz w:val="24"/>
                <w:szCs w:val="24"/>
                <w:lang w:val="es-ES" w:eastAsia="zh-TW"/>
              </w:rPr>
              <w:t xml:space="preserve"> (t</w:t>
            </w:r>
            <w:r w:rsidRPr="002A1746">
              <w:rPr>
                <w:rFonts w:ascii="Times New Roman" w:eastAsia="Times New Roman" w:hAnsi="Times New Roman" w:cs="Times New Roman"/>
                <w:sz w:val="24"/>
                <w:szCs w:val="24"/>
                <w:lang w:val="es-ES" w:eastAsia="zh-TW"/>
              </w:rPr>
              <w:t>)</w:t>
            </w:r>
            <w:r w:rsidR="009B34A6" w:rsidRPr="002A1746">
              <w:rPr>
                <w:rFonts w:ascii="Times New Roman" w:eastAsia="Times New Roman" w:hAnsi="Times New Roman" w:cs="Times New Roman"/>
                <w:sz w:val="24"/>
                <w:szCs w:val="24"/>
                <w:lang w:val="es-ES" w:eastAsia="zh-TW"/>
              </w:rPr>
              <w:t xml:space="preserve"> </w:t>
            </w:r>
          </w:p>
        </w:tc>
        <w:tc>
          <w:tcPr>
            <w:tcW w:w="615" w:type="pct"/>
            <w:tcBorders>
              <w:top w:val="nil"/>
              <w:left w:val="single" w:sz="8" w:space="0" w:color="auto"/>
              <w:bottom w:val="nil"/>
              <w:right w:val="nil"/>
            </w:tcBorders>
            <w:shd w:val="clear" w:color="auto" w:fill="auto"/>
            <w:noWrap/>
            <w:vAlign w:val="bottom"/>
            <w:hideMark/>
          </w:tcPr>
          <w:p w:rsidR="00E8263F" w:rsidRPr="002A1746" w:rsidRDefault="009B34A6"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 xml:space="preserve">IDE   </w:t>
            </w:r>
          </w:p>
        </w:tc>
        <w:tc>
          <w:tcPr>
            <w:tcW w:w="690" w:type="pct"/>
            <w:tcBorders>
              <w:top w:val="nil"/>
              <w:left w:val="nil"/>
              <w:bottom w:val="nil"/>
              <w:right w:val="nil"/>
            </w:tcBorders>
            <w:shd w:val="clear" w:color="auto" w:fill="auto"/>
            <w:noWrap/>
            <w:vAlign w:val="bottom"/>
            <w:hideMark/>
          </w:tcPr>
          <w:p w:rsidR="00E8263F" w:rsidRPr="002A1746" w:rsidRDefault="009B34A6"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IDEI</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 </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 </w:t>
            </w: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Comunidad Foral de Navarra</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9.873,94</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10.860,51</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Comunidad de Madrid</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9.265,21</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10.701,02</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País Vasco</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9.158,95</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10.628,85</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Aragón</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8.494,34</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9.556,82</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Cataluña</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8.454,86</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9.696,66</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Cantabria</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8.160,00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9.445,92</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Principado de Asturias</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8.147,00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9.468,99</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39537F">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I</w:t>
            </w:r>
            <w:r w:rsidR="0039537F">
              <w:rPr>
                <w:rFonts w:ascii="Times New Roman" w:eastAsia="Times New Roman" w:hAnsi="Times New Roman" w:cs="Times New Roman"/>
                <w:sz w:val="24"/>
                <w:szCs w:val="24"/>
                <w:lang w:val="es-ES" w:eastAsia="zh-TW"/>
              </w:rPr>
              <w:t>sla</w:t>
            </w:r>
            <w:r w:rsidRPr="002A1746">
              <w:rPr>
                <w:rFonts w:ascii="Times New Roman" w:eastAsia="Times New Roman" w:hAnsi="Times New Roman" w:cs="Times New Roman"/>
                <w:sz w:val="24"/>
                <w:szCs w:val="24"/>
                <w:lang w:val="es-ES" w:eastAsia="zh-TW"/>
              </w:rPr>
              <w:t>s Balear</w:t>
            </w:r>
            <w:r w:rsidR="0039537F">
              <w:rPr>
                <w:rFonts w:ascii="Times New Roman" w:eastAsia="Times New Roman" w:hAnsi="Times New Roman" w:cs="Times New Roman"/>
                <w:sz w:val="24"/>
                <w:szCs w:val="24"/>
                <w:lang w:val="es-ES" w:eastAsia="zh-TW"/>
              </w:rPr>
              <w:t>e</w:t>
            </w:r>
            <w:r w:rsidRPr="002A1746">
              <w:rPr>
                <w:rFonts w:ascii="Times New Roman" w:eastAsia="Times New Roman" w:hAnsi="Times New Roman" w:cs="Times New Roman"/>
                <w:sz w:val="24"/>
                <w:szCs w:val="24"/>
                <w:lang w:val="es-ES" w:eastAsia="zh-TW"/>
              </w:rPr>
              <w:t>s</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7.996,20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9.147,57</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La Rioja</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7.602,00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8.961,13</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Comunidad Valenciana</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7.283,05</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8.717,98</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Castilla y León</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7.245,00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8.312,01</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Región de Murcia</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7.200,00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8.362,80</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Galicia</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7.130,80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8.467,91</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Canarias</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6.402,00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7.668,76</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Castilla-La Mancha</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6.308,90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7.452,23</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55"/>
        </w:trPr>
        <w:tc>
          <w:tcPr>
            <w:tcW w:w="1849"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Andalucía</w:t>
            </w:r>
          </w:p>
        </w:tc>
        <w:tc>
          <w:tcPr>
            <w:tcW w:w="615" w:type="pct"/>
            <w:tcBorders>
              <w:top w:val="nil"/>
              <w:left w:val="single" w:sz="8" w:space="0" w:color="auto"/>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6.216,00</w:t>
            </w:r>
          </w:p>
        </w:tc>
        <w:tc>
          <w:tcPr>
            <w:tcW w:w="690" w:type="pct"/>
            <w:tcBorders>
              <w:top w:val="nil"/>
              <w:left w:val="nil"/>
              <w:bottom w:val="nil"/>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7.529,07</w:t>
            </w: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c>
          <w:tcPr>
            <w:tcW w:w="615" w:type="pct"/>
            <w:tcBorders>
              <w:top w:val="nil"/>
              <w:left w:val="nil"/>
              <w:bottom w:val="nil"/>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r w:rsidR="00A73362" w:rsidRPr="002A1746" w:rsidTr="00A77BD5">
        <w:trPr>
          <w:trHeight w:val="270"/>
        </w:trPr>
        <w:tc>
          <w:tcPr>
            <w:tcW w:w="1849" w:type="pct"/>
            <w:tcBorders>
              <w:top w:val="nil"/>
              <w:left w:val="nil"/>
              <w:bottom w:val="single" w:sz="8" w:space="0" w:color="auto"/>
              <w:right w:val="nil"/>
            </w:tcBorders>
            <w:shd w:val="clear" w:color="auto" w:fill="auto"/>
            <w:noWrap/>
            <w:vAlign w:val="bottom"/>
            <w:hideMark/>
          </w:tcPr>
          <w:p w:rsidR="00E8263F" w:rsidRPr="002A1746" w:rsidRDefault="00E8263F" w:rsidP="00AD37B1">
            <w:pPr>
              <w:spacing w:after="0" w:line="240" w:lineRule="auto"/>
              <w:jc w:val="right"/>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Extremadura</w:t>
            </w:r>
          </w:p>
        </w:tc>
        <w:tc>
          <w:tcPr>
            <w:tcW w:w="615" w:type="pct"/>
            <w:tcBorders>
              <w:top w:val="nil"/>
              <w:left w:val="single" w:sz="8" w:space="0" w:color="auto"/>
              <w:bottom w:val="single" w:sz="8" w:space="0" w:color="auto"/>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5.351,94</w:t>
            </w:r>
          </w:p>
        </w:tc>
        <w:tc>
          <w:tcPr>
            <w:tcW w:w="690" w:type="pct"/>
            <w:tcBorders>
              <w:top w:val="nil"/>
              <w:left w:val="nil"/>
              <w:bottom w:val="single" w:sz="8" w:space="0" w:color="auto"/>
              <w:right w:val="nil"/>
            </w:tcBorders>
            <w:shd w:val="clear" w:color="auto" w:fill="auto"/>
            <w:noWrap/>
            <w:vAlign w:val="bottom"/>
            <w:hideMark/>
          </w:tcPr>
          <w:p w:rsidR="00E8263F" w:rsidRPr="002A1746" w:rsidRDefault="00E8263F" w:rsidP="00066AB7">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6.413,12</w:t>
            </w:r>
          </w:p>
        </w:tc>
        <w:tc>
          <w:tcPr>
            <w:tcW w:w="615" w:type="pct"/>
            <w:tcBorders>
              <w:top w:val="nil"/>
              <w:left w:val="nil"/>
              <w:bottom w:val="single" w:sz="8" w:space="0" w:color="auto"/>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 </w:t>
            </w:r>
          </w:p>
        </w:tc>
        <w:tc>
          <w:tcPr>
            <w:tcW w:w="615" w:type="pct"/>
            <w:tcBorders>
              <w:top w:val="nil"/>
              <w:left w:val="nil"/>
              <w:bottom w:val="single" w:sz="8" w:space="0" w:color="auto"/>
              <w:right w:val="nil"/>
            </w:tcBorders>
            <w:shd w:val="clear" w:color="auto" w:fill="auto"/>
            <w:noWrap/>
            <w:vAlign w:val="bottom"/>
            <w:hideMark/>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r w:rsidRPr="002A1746">
              <w:rPr>
                <w:rFonts w:ascii="Times New Roman" w:eastAsia="Times New Roman" w:hAnsi="Times New Roman" w:cs="Times New Roman"/>
                <w:sz w:val="24"/>
                <w:szCs w:val="24"/>
                <w:lang w:val="es-ES" w:eastAsia="zh-TW"/>
              </w:rPr>
              <w:t> </w:t>
            </w:r>
          </w:p>
        </w:tc>
        <w:tc>
          <w:tcPr>
            <w:tcW w:w="615" w:type="pct"/>
            <w:tcBorders>
              <w:top w:val="nil"/>
              <w:left w:val="nil"/>
              <w:bottom w:val="single" w:sz="8" w:space="0" w:color="auto"/>
            </w:tcBorders>
            <w:shd w:val="clear" w:color="auto" w:fill="auto"/>
            <w:noWrap/>
            <w:vAlign w:val="bottom"/>
          </w:tcPr>
          <w:p w:rsidR="00E8263F" w:rsidRPr="002A1746" w:rsidRDefault="00E8263F" w:rsidP="00AD37B1">
            <w:pPr>
              <w:spacing w:after="0" w:line="240" w:lineRule="auto"/>
              <w:jc w:val="center"/>
              <w:rPr>
                <w:rFonts w:ascii="Times New Roman" w:eastAsia="Times New Roman" w:hAnsi="Times New Roman" w:cs="Times New Roman"/>
                <w:sz w:val="24"/>
                <w:szCs w:val="24"/>
                <w:lang w:val="es-ES" w:eastAsia="zh-TW"/>
              </w:rPr>
            </w:pPr>
          </w:p>
        </w:tc>
      </w:tr>
    </w:tbl>
    <w:p w:rsidR="00810CBB" w:rsidRPr="002A1746" w:rsidRDefault="00810CBB" w:rsidP="00AD37B1">
      <w:pPr>
        <w:spacing w:before="120" w:after="120" w:line="360" w:lineRule="auto"/>
        <w:rPr>
          <w:rFonts w:ascii="Times New Roman" w:hAnsi="Times New Roman" w:cs="Times New Roman"/>
          <w:sz w:val="18"/>
          <w:szCs w:val="24"/>
          <w:lang w:val="es-ES"/>
        </w:rPr>
      </w:pPr>
      <w:r w:rsidRPr="002A1746">
        <w:rPr>
          <w:rFonts w:ascii="Times New Roman" w:hAnsi="Times New Roman" w:cs="Times New Roman"/>
          <w:sz w:val="18"/>
          <w:szCs w:val="24"/>
          <w:lang w:val="es-ES"/>
        </w:rPr>
        <w:t xml:space="preserve">Fuente: Elaboración propia con </w:t>
      </w:r>
      <w:proofErr w:type="spellStart"/>
      <w:r w:rsidRPr="002A1746">
        <w:rPr>
          <w:rFonts w:ascii="Times New Roman" w:hAnsi="Times New Roman" w:cs="Times New Roman"/>
          <w:sz w:val="18"/>
          <w:szCs w:val="24"/>
          <w:lang w:val="es-ES"/>
        </w:rPr>
        <w:t>microdatos</w:t>
      </w:r>
      <w:proofErr w:type="spellEnd"/>
      <w:r w:rsidRPr="002A1746">
        <w:rPr>
          <w:rFonts w:ascii="Times New Roman" w:hAnsi="Times New Roman" w:cs="Times New Roman"/>
          <w:sz w:val="18"/>
          <w:szCs w:val="24"/>
          <w:lang w:val="es-ES"/>
        </w:rPr>
        <w:t xml:space="preserve"> ECV-INE.</w:t>
      </w:r>
    </w:p>
    <w:p w:rsidR="008A74DE" w:rsidRDefault="008A74DE" w:rsidP="008A74DE">
      <w:pPr>
        <w:pStyle w:val="Prrafodelista"/>
        <w:spacing w:before="120" w:after="120" w:line="360" w:lineRule="auto"/>
        <w:jc w:val="both"/>
        <w:rPr>
          <w:rFonts w:ascii="Times New Roman" w:hAnsi="Times New Roman" w:cs="Times New Roman"/>
          <w:b/>
          <w:sz w:val="24"/>
          <w:szCs w:val="24"/>
          <w:lang w:val="es-ES"/>
        </w:rPr>
      </w:pPr>
    </w:p>
    <w:p w:rsidR="008161EE" w:rsidRPr="002A1746" w:rsidRDefault="008161EE" w:rsidP="00AD37B1">
      <w:pPr>
        <w:pStyle w:val="Prrafodelista"/>
        <w:numPr>
          <w:ilvl w:val="0"/>
          <w:numId w:val="1"/>
        </w:numPr>
        <w:spacing w:before="120" w:after="120" w:line="360" w:lineRule="auto"/>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lastRenderedPageBreak/>
        <w:t>ANÁLISIS EMPÍRICO</w:t>
      </w:r>
      <w:r w:rsidR="000C20B1" w:rsidRPr="002A1746">
        <w:rPr>
          <w:rFonts w:ascii="Times New Roman" w:hAnsi="Times New Roman" w:cs="Times New Roman"/>
          <w:b/>
          <w:sz w:val="24"/>
          <w:szCs w:val="24"/>
          <w:lang w:val="es-ES"/>
        </w:rPr>
        <w:t xml:space="preserve"> </w:t>
      </w:r>
    </w:p>
    <w:p w:rsidR="009C342C" w:rsidRPr="002A1746" w:rsidRDefault="009C342C" w:rsidP="00030D2D">
      <w:pPr>
        <w:spacing w:before="120" w:after="120" w:line="360" w:lineRule="auto"/>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t>Análisis de la pobreza para el conjunto español</w:t>
      </w:r>
    </w:p>
    <w:p w:rsidR="002E3F4E" w:rsidRPr="002A1746" w:rsidRDefault="00030D2D" w:rsidP="002E3F4E">
      <w:pPr>
        <w:spacing w:before="120" w:after="120" w:line="360" w:lineRule="auto"/>
        <w:jc w:val="both"/>
        <w:rPr>
          <w:rFonts w:ascii="Times New Roman" w:eastAsia="Times New Roman" w:hAnsi="Times New Roman" w:cs="Times New Roman"/>
          <w:strike/>
          <w:sz w:val="24"/>
          <w:szCs w:val="24"/>
          <w:lang w:val="es-ES" w:eastAsia="zh-TW" w:bidi="he-IL"/>
        </w:rPr>
      </w:pPr>
      <w:r w:rsidRPr="002A1746">
        <w:rPr>
          <w:rFonts w:ascii="Times New Roman" w:eastAsia="Times New Roman" w:hAnsi="Times New Roman" w:cs="Times New Roman"/>
          <w:sz w:val="24"/>
          <w:szCs w:val="24"/>
          <w:lang w:val="es-ES" w:eastAsia="zh-TW" w:bidi="he-IL"/>
        </w:rPr>
        <w:t>Según estudios más o menos recientes, l</w:t>
      </w:r>
      <w:r w:rsidR="00F27A4C" w:rsidRPr="002A1746">
        <w:rPr>
          <w:rFonts w:ascii="Times New Roman" w:eastAsia="Times New Roman" w:hAnsi="Times New Roman" w:cs="Times New Roman"/>
          <w:sz w:val="24"/>
          <w:szCs w:val="24"/>
          <w:lang w:val="es-ES" w:eastAsia="zh-TW" w:bidi="he-IL"/>
        </w:rPr>
        <w:t xml:space="preserve">a pobreza en España se ha incrementado en los últimos años independientemente del indicador que utilicemos </w:t>
      </w:r>
      <w:r w:rsidR="000C25E0" w:rsidRPr="002A1746">
        <w:rPr>
          <w:rFonts w:ascii="Times New Roman" w:eastAsia="Times New Roman" w:hAnsi="Times New Roman" w:cs="Times New Roman"/>
          <w:sz w:val="24"/>
          <w:szCs w:val="24"/>
          <w:lang w:val="es-ES" w:eastAsia="zh-TW" w:bidi="he-IL"/>
        </w:rPr>
        <w:t>(</w:t>
      </w:r>
      <w:r w:rsidR="003679E1" w:rsidRPr="002A1746">
        <w:rPr>
          <w:rFonts w:ascii="Times New Roman" w:hAnsi="Times New Roman" w:cs="Times New Roman"/>
          <w:sz w:val="24"/>
          <w:szCs w:val="24"/>
          <w:lang w:val="es-ES"/>
        </w:rPr>
        <w:t>González-Bueno</w:t>
      </w:r>
      <w:r w:rsidR="00DD54E1" w:rsidRPr="002A1746">
        <w:rPr>
          <w:rFonts w:ascii="Times New Roman" w:hAnsi="Times New Roman" w:cs="Times New Roman"/>
          <w:sz w:val="24"/>
          <w:szCs w:val="24"/>
          <w:lang w:val="es-ES"/>
        </w:rPr>
        <w:t xml:space="preserve"> </w:t>
      </w:r>
      <w:r w:rsidR="003679E1" w:rsidRPr="002A1746">
        <w:rPr>
          <w:rFonts w:ascii="Times New Roman" w:hAnsi="Times New Roman" w:cs="Times New Roman"/>
          <w:sz w:val="24"/>
          <w:szCs w:val="24"/>
          <w:lang w:val="es-ES"/>
        </w:rPr>
        <w:t xml:space="preserve">et al, 2012; </w:t>
      </w:r>
      <w:proofErr w:type="spellStart"/>
      <w:r w:rsidR="006B62E1" w:rsidRPr="002A1746">
        <w:rPr>
          <w:rFonts w:ascii="Times New Roman" w:hAnsi="Times New Roman" w:cs="Times New Roman"/>
          <w:sz w:val="24"/>
          <w:szCs w:val="24"/>
          <w:lang w:val="es-ES"/>
        </w:rPr>
        <w:t>Bellod</w:t>
      </w:r>
      <w:proofErr w:type="spellEnd"/>
      <w:r w:rsidR="00442D62" w:rsidRPr="002A1746">
        <w:rPr>
          <w:rFonts w:ascii="Times New Roman" w:hAnsi="Times New Roman" w:cs="Times New Roman"/>
          <w:sz w:val="24"/>
          <w:szCs w:val="24"/>
          <w:lang w:val="es-ES"/>
        </w:rPr>
        <w:t>,</w:t>
      </w:r>
      <w:r w:rsidR="000C25E0" w:rsidRPr="002A1746">
        <w:rPr>
          <w:rFonts w:ascii="Times New Roman" w:hAnsi="Times New Roman" w:cs="Times New Roman"/>
          <w:sz w:val="24"/>
          <w:szCs w:val="24"/>
          <w:lang w:val="es-ES"/>
        </w:rPr>
        <w:t xml:space="preserve"> </w:t>
      </w:r>
      <w:r w:rsidR="00442D62" w:rsidRPr="002A1746">
        <w:rPr>
          <w:rFonts w:ascii="Times New Roman" w:hAnsi="Times New Roman" w:cs="Times New Roman"/>
          <w:sz w:val="24"/>
          <w:szCs w:val="24"/>
          <w:lang w:val="es-ES"/>
        </w:rPr>
        <w:t xml:space="preserve">2013; </w:t>
      </w:r>
      <w:r w:rsidR="000C25E0" w:rsidRPr="002A1746">
        <w:rPr>
          <w:rFonts w:ascii="Times New Roman" w:hAnsi="Times New Roman" w:cs="Times New Roman"/>
          <w:bCs/>
          <w:sz w:val="24"/>
          <w:szCs w:val="24"/>
          <w:shd w:val="clear" w:color="auto" w:fill="FFFFFF"/>
          <w:lang w:val="es-ES"/>
        </w:rPr>
        <w:t>Fundación FOESSA, 2014; EAPN España, 2014</w:t>
      </w:r>
      <w:r w:rsidR="0039537F">
        <w:rPr>
          <w:rFonts w:ascii="Times New Roman" w:hAnsi="Times New Roman" w:cs="Times New Roman"/>
          <w:bCs/>
          <w:sz w:val="24"/>
          <w:szCs w:val="24"/>
          <w:shd w:val="clear" w:color="auto" w:fill="FFFFFF"/>
          <w:lang w:val="es-ES"/>
        </w:rPr>
        <w:t xml:space="preserve">; </w:t>
      </w:r>
      <w:r w:rsidR="00DF70EE" w:rsidRPr="00DF70EE">
        <w:rPr>
          <w:rFonts w:ascii="Times New Roman" w:hAnsi="Times New Roman" w:cs="Times New Roman"/>
          <w:bCs/>
          <w:sz w:val="24"/>
          <w:szCs w:val="24"/>
          <w:shd w:val="clear" w:color="auto" w:fill="FFFFFF"/>
          <w:lang w:val="es-ES"/>
        </w:rPr>
        <w:t>Ayala et al</w:t>
      </w:r>
      <w:r w:rsidR="0039537F" w:rsidRPr="00DF70EE">
        <w:rPr>
          <w:rFonts w:ascii="Times New Roman" w:hAnsi="Times New Roman" w:cs="Times New Roman"/>
          <w:bCs/>
          <w:sz w:val="24"/>
          <w:szCs w:val="24"/>
          <w:shd w:val="clear" w:color="auto" w:fill="FFFFFF"/>
          <w:lang w:val="es-ES"/>
        </w:rPr>
        <w:t>, 2013</w:t>
      </w:r>
      <w:r w:rsidR="00932790" w:rsidRPr="00DF70EE">
        <w:rPr>
          <w:rFonts w:ascii="Times New Roman" w:hAnsi="Times New Roman" w:cs="Times New Roman"/>
          <w:bCs/>
          <w:sz w:val="24"/>
          <w:szCs w:val="24"/>
          <w:shd w:val="clear" w:color="auto" w:fill="FFFFFF"/>
          <w:lang w:val="es-ES"/>
        </w:rPr>
        <w:t>).</w:t>
      </w:r>
    </w:p>
    <w:p w:rsidR="00F27A4C" w:rsidRPr="002A1746" w:rsidRDefault="00030D2D" w:rsidP="00AD37B1">
      <w:pPr>
        <w:spacing w:before="120" w:after="120" w:line="360" w:lineRule="auto"/>
        <w:jc w:val="both"/>
        <w:rPr>
          <w:rFonts w:ascii="Times New Roman" w:eastAsia="Times New Roman" w:hAnsi="Times New Roman" w:cs="Times New Roman"/>
          <w:sz w:val="24"/>
          <w:szCs w:val="24"/>
          <w:lang w:val="es-ES" w:eastAsia="zh-TW" w:bidi="he-IL"/>
        </w:rPr>
      </w:pPr>
      <w:r w:rsidRPr="002A1746">
        <w:rPr>
          <w:rFonts w:ascii="Times New Roman" w:eastAsia="Times New Roman" w:hAnsi="Times New Roman" w:cs="Times New Roman"/>
          <w:sz w:val="24"/>
          <w:szCs w:val="24"/>
          <w:lang w:val="es-ES" w:eastAsia="zh-TW" w:bidi="he-IL"/>
        </w:rPr>
        <w:t>Como podemos ver en el gráfico 1,  l</w:t>
      </w:r>
      <w:r w:rsidR="002646B3" w:rsidRPr="002A1746">
        <w:rPr>
          <w:rFonts w:ascii="Times New Roman" w:eastAsia="Times New Roman" w:hAnsi="Times New Roman" w:cs="Times New Roman"/>
          <w:sz w:val="24"/>
          <w:szCs w:val="24"/>
          <w:lang w:val="es-ES" w:eastAsia="zh-TW" w:bidi="he-IL"/>
        </w:rPr>
        <w:t xml:space="preserve">os </w:t>
      </w:r>
      <w:r w:rsidRPr="002A1746">
        <w:rPr>
          <w:rFonts w:ascii="Times New Roman" w:eastAsia="Times New Roman" w:hAnsi="Times New Roman" w:cs="Times New Roman"/>
          <w:sz w:val="24"/>
          <w:szCs w:val="24"/>
          <w:lang w:val="es-ES" w:eastAsia="zh-TW" w:bidi="he-IL"/>
        </w:rPr>
        <w:t>niveles</w:t>
      </w:r>
      <w:r w:rsidR="00F27A4C" w:rsidRPr="002A1746">
        <w:rPr>
          <w:rFonts w:ascii="Times New Roman" w:eastAsia="Times New Roman" w:hAnsi="Times New Roman" w:cs="Times New Roman"/>
          <w:sz w:val="24"/>
          <w:szCs w:val="24"/>
          <w:lang w:val="es-ES" w:eastAsia="zh-TW" w:bidi="he-IL"/>
        </w:rPr>
        <w:t xml:space="preserve"> de pobreza</w:t>
      </w:r>
      <w:r w:rsidRPr="002A1746">
        <w:rPr>
          <w:rFonts w:ascii="Times New Roman" w:eastAsia="Times New Roman" w:hAnsi="Times New Roman" w:cs="Times New Roman"/>
          <w:sz w:val="24"/>
          <w:szCs w:val="24"/>
          <w:lang w:val="es-ES" w:eastAsia="zh-TW" w:bidi="he-IL"/>
        </w:rPr>
        <w:t xml:space="preserve"> en</w:t>
      </w:r>
      <w:r w:rsidR="00F27A4C" w:rsidRPr="002A1746">
        <w:rPr>
          <w:rFonts w:ascii="Times New Roman" w:eastAsia="Times New Roman" w:hAnsi="Times New Roman" w:cs="Times New Roman"/>
          <w:sz w:val="24"/>
          <w:szCs w:val="24"/>
          <w:lang w:val="es-ES" w:eastAsia="zh-TW" w:bidi="he-IL"/>
        </w:rPr>
        <w:t xml:space="preserve"> España </w:t>
      </w:r>
      <w:r w:rsidRPr="002A1746">
        <w:rPr>
          <w:rFonts w:ascii="Times New Roman" w:eastAsia="Times New Roman" w:hAnsi="Times New Roman" w:cs="Times New Roman"/>
          <w:sz w:val="24"/>
          <w:szCs w:val="24"/>
          <w:lang w:val="es-ES" w:eastAsia="zh-TW" w:bidi="he-IL"/>
        </w:rPr>
        <w:t>muestran</w:t>
      </w:r>
      <w:r w:rsidR="00810CBB" w:rsidRPr="002A1746">
        <w:rPr>
          <w:rFonts w:ascii="Times New Roman" w:eastAsia="Times New Roman" w:hAnsi="Times New Roman" w:cs="Times New Roman"/>
          <w:sz w:val="24"/>
          <w:szCs w:val="24"/>
          <w:lang w:val="es-ES" w:eastAsia="zh-TW" w:bidi="he-IL"/>
        </w:rPr>
        <w:t xml:space="preserve"> un punto de inflexión en el año 2009</w:t>
      </w:r>
      <w:r w:rsidR="000312E1" w:rsidRPr="002A1746">
        <w:rPr>
          <w:rFonts w:ascii="Times New Roman" w:eastAsia="Times New Roman" w:hAnsi="Times New Roman" w:cs="Times New Roman"/>
          <w:sz w:val="24"/>
          <w:szCs w:val="24"/>
          <w:lang w:val="es-ES" w:eastAsia="zh-TW" w:bidi="he-IL"/>
        </w:rPr>
        <w:t xml:space="preserve"> (ingresos 2008)</w:t>
      </w:r>
      <w:r w:rsidR="00810CBB" w:rsidRPr="002A1746">
        <w:rPr>
          <w:rFonts w:ascii="Times New Roman" w:eastAsia="Times New Roman" w:hAnsi="Times New Roman" w:cs="Times New Roman"/>
          <w:sz w:val="24"/>
          <w:szCs w:val="24"/>
          <w:lang w:val="es-ES" w:eastAsia="zh-TW" w:bidi="he-IL"/>
        </w:rPr>
        <w:t>,</w:t>
      </w:r>
      <w:r w:rsidR="00D77336" w:rsidRPr="002A1746">
        <w:rPr>
          <w:rFonts w:ascii="Times New Roman" w:eastAsia="Times New Roman" w:hAnsi="Times New Roman" w:cs="Times New Roman"/>
          <w:sz w:val="24"/>
          <w:szCs w:val="24"/>
          <w:lang w:val="es-ES" w:eastAsia="zh-TW" w:bidi="he-IL"/>
        </w:rPr>
        <w:t xml:space="preserve"> salvo cuando utilizamos </w:t>
      </w:r>
      <w:r w:rsidR="00F27A4C" w:rsidRPr="002A1746">
        <w:rPr>
          <w:rFonts w:ascii="Times New Roman" w:eastAsia="Times New Roman" w:hAnsi="Times New Roman" w:cs="Times New Roman"/>
          <w:sz w:val="24"/>
          <w:szCs w:val="24"/>
          <w:lang w:val="es-ES" w:eastAsia="zh-TW" w:bidi="he-IL"/>
        </w:rPr>
        <w:t>ingresos reales en paridades</w:t>
      </w:r>
      <w:r w:rsidR="00D77336" w:rsidRPr="002A1746">
        <w:rPr>
          <w:rFonts w:ascii="Times New Roman" w:eastAsia="Times New Roman" w:hAnsi="Times New Roman" w:cs="Times New Roman"/>
          <w:sz w:val="24"/>
          <w:szCs w:val="24"/>
          <w:lang w:val="es-ES" w:eastAsia="zh-TW" w:bidi="he-IL"/>
        </w:rPr>
        <w:t xml:space="preserve">. </w:t>
      </w:r>
      <w:r w:rsidR="0006291D" w:rsidRPr="002A1746">
        <w:rPr>
          <w:rFonts w:ascii="Times New Roman" w:eastAsia="Times New Roman" w:hAnsi="Times New Roman" w:cs="Times New Roman"/>
          <w:sz w:val="24"/>
          <w:szCs w:val="24"/>
          <w:lang w:val="es-ES" w:eastAsia="zh-TW" w:bidi="he-IL"/>
        </w:rPr>
        <w:t>Según esta última variable</w:t>
      </w:r>
      <w:r w:rsidR="001C67E1" w:rsidRPr="002A1746">
        <w:rPr>
          <w:rFonts w:ascii="Times New Roman" w:eastAsia="Times New Roman" w:hAnsi="Times New Roman" w:cs="Times New Roman"/>
          <w:sz w:val="24"/>
          <w:szCs w:val="24"/>
          <w:lang w:val="es-ES" w:eastAsia="zh-TW" w:bidi="he-IL"/>
        </w:rPr>
        <w:t>,</w:t>
      </w:r>
      <w:r w:rsidR="00D77336" w:rsidRPr="002A1746">
        <w:rPr>
          <w:rFonts w:ascii="Times New Roman" w:eastAsia="Times New Roman" w:hAnsi="Times New Roman" w:cs="Times New Roman"/>
          <w:sz w:val="24"/>
          <w:szCs w:val="24"/>
          <w:lang w:val="es-ES" w:eastAsia="zh-TW" w:bidi="he-IL"/>
        </w:rPr>
        <w:t xml:space="preserve"> el incremento de la pobreza es continuo en todo el periodo, lo </w:t>
      </w:r>
      <w:r w:rsidR="00F27A4C" w:rsidRPr="002A1746">
        <w:rPr>
          <w:rFonts w:ascii="Times New Roman" w:eastAsia="Times New Roman" w:hAnsi="Times New Roman" w:cs="Times New Roman"/>
          <w:sz w:val="24"/>
          <w:szCs w:val="24"/>
          <w:lang w:val="es-ES" w:eastAsia="zh-TW" w:bidi="he-IL"/>
        </w:rPr>
        <w:t xml:space="preserve">que nos indica que </w:t>
      </w:r>
      <w:r w:rsidR="0006291D" w:rsidRPr="002A1746">
        <w:rPr>
          <w:rFonts w:ascii="Times New Roman" w:eastAsia="Times New Roman" w:hAnsi="Times New Roman" w:cs="Times New Roman"/>
          <w:sz w:val="24"/>
          <w:szCs w:val="24"/>
          <w:lang w:val="es-ES" w:eastAsia="zh-TW" w:bidi="he-IL"/>
        </w:rPr>
        <w:t xml:space="preserve">teniendo en cuenta las diferencias regionales de precios y </w:t>
      </w:r>
      <w:r w:rsidR="00F27A4C" w:rsidRPr="002A1746">
        <w:rPr>
          <w:rFonts w:ascii="Times New Roman" w:eastAsia="Times New Roman" w:hAnsi="Times New Roman" w:cs="Times New Roman"/>
          <w:sz w:val="24"/>
          <w:szCs w:val="24"/>
          <w:lang w:val="es-ES" w:eastAsia="zh-TW" w:bidi="he-IL"/>
        </w:rPr>
        <w:t>la pérdida de poder adquis</w:t>
      </w:r>
      <w:r w:rsidR="000312E1" w:rsidRPr="002A1746">
        <w:rPr>
          <w:rFonts w:ascii="Times New Roman" w:eastAsia="Times New Roman" w:hAnsi="Times New Roman" w:cs="Times New Roman"/>
          <w:sz w:val="24"/>
          <w:szCs w:val="24"/>
          <w:lang w:val="es-ES" w:eastAsia="zh-TW" w:bidi="he-IL"/>
        </w:rPr>
        <w:t>itivo derivada de la inflación</w:t>
      </w:r>
      <w:r w:rsidR="007C0F9F" w:rsidRPr="002A1746">
        <w:rPr>
          <w:rFonts w:ascii="Times New Roman" w:eastAsia="Times New Roman" w:hAnsi="Times New Roman" w:cs="Times New Roman"/>
          <w:sz w:val="24"/>
          <w:szCs w:val="24"/>
          <w:lang w:val="es-ES" w:eastAsia="zh-TW" w:bidi="he-IL"/>
        </w:rPr>
        <w:t xml:space="preserve">, </w:t>
      </w:r>
      <w:r w:rsidR="00F03150" w:rsidRPr="002A1746">
        <w:rPr>
          <w:rFonts w:ascii="Times New Roman" w:eastAsia="Times New Roman" w:hAnsi="Times New Roman" w:cs="Times New Roman"/>
          <w:sz w:val="24"/>
          <w:szCs w:val="24"/>
          <w:lang w:val="es-ES" w:eastAsia="zh-TW" w:bidi="he-IL"/>
        </w:rPr>
        <w:t xml:space="preserve">el </w:t>
      </w:r>
      <w:r w:rsidR="00500CE4" w:rsidRPr="002A1746">
        <w:rPr>
          <w:rFonts w:ascii="Times New Roman" w:eastAsia="Times New Roman" w:hAnsi="Times New Roman" w:cs="Times New Roman"/>
          <w:sz w:val="24"/>
          <w:szCs w:val="24"/>
          <w:lang w:val="es-ES" w:eastAsia="zh-TW" w:bidi="he-IL"/>
        </w:rPr>
        <w:t>aumento</w:t>
      </w:r>
      <w:r w:rsidR="00F03150" w:rsidRPr="002A1746">
        <w:rPr>
          <w:rFonts w:ascii="Times New Roman" w:eastAsia="Times New Roman" w:hAnsi="Times New Roman" w:cs="Times New Roman"/>
          <w:sz w:val="24"/>
          <w:szCs w:val="24"/>
          <w:lang w:val="es-ES" w:eastAsia="zh-TW" w:bidi="he-IL"/>
        </w:rPr>
        <w:t xml:space="preserve"> de la pobreza ha sido bastante superior al que </w:t>
      </w:r>
      <w:r w:rsidR="0006291D" w:rsidRPr="002A1746">
        <w:rPr>
          <w:rFonts w:ascii="Times New Roman" w:eastAsia="Times New Roman" w:hAnsi="Times New Roman" w:cs="Times New Roman"/>
          <w:sz w:val="24"/>
          <w:szCs w:val="24"/>
          <w:lang w:val="es-ES" w:eastAsia="zh-TW" w:bidi="he-IL"/>
        </w:rPr>
        <w:t>resulta según las</w:t>
      </w:r>
      <w:r w:rsidR="007C0F9F" w:rsidRPr="002A1746">
        <w:rPr>
          <w:rFonts w:ascii="Times New Roman" w:eastAsia="Times New Roman" w:hAnsi="Times New Roman" w:cs="Times New Roman"/>
          <w:sz w:val="24"/>
          <w:szCs w:val="24"/>
          <w:lang w:val="es-ES" w:eastAsia="zh-TW" w:bidi="he-IL"/>
        </w:rPr>
        <w:t xml:space="preserve"> demás</w:t>
      </w:r>
      <w:r w:rsidR="0006291D" w:rsidRPr="002A1746">
        <w:rPr>
          <w:rFonts w:ascii="Times New Roman" w:eastAsia="Times New Roman" w:hAnsi="Times New Roman" w:cs="Times New Roman"/>
          <w:sz w:val="24"/>
          <w:szCs w:val="24"/>
          <w:lang w:val="es-ES" w:eastAsia="zh-TW" w:bidi="he-IL"/>
        </w:rPr>
        <w:t xml:space="preserve"> variables y/o líneas de pobreza</w:t>
      </w:r>
      <w:r w:rsidR="00D56AC2" w:rsidRPr="002A1746">
        <w:rPr>
          <w:rFonts w:ascii="Times New Roman" w:eastAsia="Times New Roman" w:hAnsi="Times New Roman" w:cs="Times New Roman"/>
          <w:sz w:val="24"/>
          <w:szCs w:val="24"/>
          <w:lang w:val="es-ES" w:eastAsia="zh-TW" w:bidi="he-IL"/>
        </w:rPr>
        <w:t>.</w:t>
      </w:r>
    </w:p>
    <w:p w:rsidR="000312E1" w:rsidRPr="00F82A9E" w:rsidRDefault="000312E1" w:rsidP="00F82A9E">
      <w:pPr>
        <w:spacing w:before="120" w:after="120" w:line="360" w:lineRule="auto"/>
        <w:rPr>
          <w:rFonts w:ascii="Times New Roman" w:eastAsia="Times New Roman" w:hAnsi="Times New Roman" w:cs="Times New Roman"/>
          <w:sz w:val="24"/>
          <w:szCs w:val="24"/>
          <w:lang w:val="es-ES" w:eastAsia="zh-TW" w:bidi="he-IL"/>
        </w:rPr>
      </w:pPr>
      <w:r w:rsidRPr="00F82A9E">
        <w:rPr>
          <w:rFonts w:ascii="Times New Roman" w:eastAsia="Times New Roman" w:hAnsi="Times New Roman" w:cs="Times New Roman"/>
          <w:sz w:val="24"/>
          <w:szCs w:val="24"/>
          <w:lang w:val="es-ES" w:eastAsia="zh-TW" w:bidi="he-IL"/>
        </w:rPr>
        <w:t xml:space="preserve">Gráfico 1: </w:t>
      </w:r>
      <w:r w:rsidR="00F03150" w:rsidRPr="00F82A9E">
        <w:rPr>
          <w:rFonts w:ascii="Times New Roman" w:eastAsia="Times New Roman" w:hAnsi="Times New Roman" w:cs="Times New Roman"/>
          <w:sz w:val="24"/>
          <w:szCs w:val="24"/>
          <w:lang w:val="es-ES" w:eastAsia="zh-TW" w:bidi="he-IL"/>
        </w:rPr>
        <w:t xml:space="preserve">Tasa de Riesgo de Pobreza </w:t>
      </w:r>
      <w:r w:rsidRPr="00F82A9E">
        <w:rPr>
          <w:rFonts w:ascii="Times New Roman" w:eastAsia="Times New Roman" w:hAnsi="Times New Roman" w:cs="Times New Roman"/>
          <w:sz w:val="24"/>
          <w:szCs w:val="24"/>
          <w:lang w:val="es-ES" w:eastAsia="zh-TW" w:bidi="he-IL"/>
        </w:rPr>
        <w:t xml:space="preserve"> (%).</w:t>
      </w:r>
      <w:r w:rsidR="00421CBE">
        <w:rPr>
          <w:rFonts w:ascii="Times New Roman" w:eastAsia="Times New Roman" w:hAnsi="Times New Roman" w:cs="Times New Roman"/>
          <w:sz w:val="24"/>
          <w:szCs w:val="24"/>
          <w:lang w:val="es-ES" w:eastAsia="zh-TW" w:bidi="he-IL"/>
        </w:rPr>
        <w:t xml:space="preserve"> </w:t>
      </w:r>
      <w:r w:rsidR="00F20E56" w:rsidRPr="00F82A9E">
        <w:rPr>
          <w:rFonts w:ascii="Times New Roman" w:eastAsia="Times New Roman" w:hAnsi="Times New Roman" w:cs="Times New Roman"/>
          <w:sz w:val="24"/>
          <w:szCs w:val="24"/>
          <w:lang w:val="es-ES" w:eastAsia="zh-TW" w:bidi="he-IL"/>
        </w:rPr>
        <w:t>España</w:t>
      </w:r>
    </w:p>
    <w:p w:rsidR="007F24FC" w:rsidRPr="00F82A9E" w:rsidRDefault="00F82A9E" w:rsidP="00F82A9E">
      <w:pPr>
        <w:spacing w:before="120" w:after="120" w:line="360" w:lineRule="auto"/>
        <w:rPr>
          <w:rFonts w:ascii="Times New Roman" w:eastAsia="Times New Roman" w:hAnsi="Times New Roman" w:cs="Times New Roman"/>
          <w:sz w:val="24"/>
          <w:szCs w:val="24"/>
          <w:lang w:val="es-ES" w:eastAsia="zh-TW" w:bidi="he-IL"/>
        </w:rPr>
      </w:pPr>
      <w:r w:rsidRPr="00F82A9E">
        <w:rPr>
          <w:rFonts w:ascii="Times New Roman" w:hAnsi="Times New Roman" w:cs="Times New Roman"/>
          <w:noProof/>
          <w:lang w:val="es-ES" w:eastAsia="es-ES"/>
        </w:rPr>
        <w:drawing>
          <wp:inline distT="0" distB="0" distL="0" distR="0" wp14:anchorId="323AAE5F" wp14:editId="10404888">
            <wp:extent cx="5400000" cy="2520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12E1" w:rsidRPr="00F82A9E" w:rsidRDefault="000312E1" w:rsidP="00F82A9E">
      <w:pPr>
        <w:spacing w:before="120" w:after="120" w:line="360" w:lineRule="auto"/>
        <w:rPr>
          <w:rFonts w:ascii="Times New Roman" w:hAnsi="Times New Roman" w:cs="Times New Roman"/>
          <w:sz w:val="24"/>
          <w:lang w:val="es-ES"/>
        </w:rPr>
      </w:pPr>
      <w:r w:rsidRPr="00F82A9E">
        <w:rPr>
          <w:rFonts w:ascii="Times New Roman" w:hAnsi="Times New Roman" w:cs="Times New Roman"/>
          <w:sz w:val="18"/>
          <w:szCs w:val="24"/>
          <w:lang w:val="es-ES"/>
        </w:rPr>
        <w:t xml:space="preserve">Fuente: Elaboración propia con </w:t>
      </w:r>
      <w:proofErr w:type="spellStart"/>
      <w:r w:rsidRPr="00F82A9E">
        <w:rPr>
          <w:rFonts w:ascii="Times New Roman" w:hAnsi="Times New Roman" w:cs="Times New Roman"/>
          <w:sz w:val="18"/>
          <w:szCs w:val="24"/>
          <w:lang w:val="es-ES"/>
        </w:rPr>
        <w:t>microdatos</w:t>
      </w:r>
      <w:proofErr w:type="spellEnd"/>
      <w:r w:rsidRPr="00F82A9E">
        <w:rPr>
          <w:rFonts w:ascii="Times New Roman" w:hAnsi="Times New Roman" w:cs="Times New Roman"/>
          <w:sz w:val="18"/>
          <w:szCs w:val="24"/>
          <w:lang w:val="es-ES"/>
        </w:rPr>
        <w:t xml:space="preserve"> ECV-INE.</w:t>
      </w:r>
    </w:p>
    <w:p w:rsidR="00810CBB" w:rsidRPr="002A1746" w:rsidRDefault="00500CE4" w:rsidP="00AD37B1">
      <w:pPr>
        <w:spacing w:before="120" w:after="120" w:line="360" w:lineRule="auto"/>
        <w:jc w:val="both"/>
        <w:rPr>
          <w:rFonts w:ascii="Times New Roman" w:eastAsia="Times New Roman" w:hAnsi="Times New Roman" w:cs="Times New Roman"/>
          <w:sz w:val="24"/>
          <w:szCs w:val="24"/>
          <w:lang w:val="es-ES" w:eastAsia="zh-TW" w:bidi="he-IL"/>
        </w:rPr>
      </w:pPr>
      <w:r w:rsidRPr="002A1746">
        <w:rPr>
          <w:rFonts w:ascii="Times New Roman" w:eastAsia="Times New Roman" w:hAnsi="Times New Roman" w:cs="Times New Roman"/>
          <w:sz w:val="24"/>
          <w:szCs w:val="24"/>
          <w:lang w:val="es-ES" w:eastAsia="zh-TW" w:bidi="he-IL"/>
        </w:rPr>
        <w:t>C</w:t>
      </w:r>
      <w:r w:rsidR="007F24FC" w:rsidRPr="002A1746">
        <w:rPr>
          <w:rFonts w:ascii="Times New Roman" w:eastAsia="Times New Roman" w:hAnsi="Times New Roman" w:cs="Times New Roman"/>
          <w:sz w:val="24"/>
          <w:szCs w:val="24"/>
          <w:lang w:val="es-ES" w:eastAsia="zh-TW" w:bidi="he-IL"/>
        </w:rPr>
        <w:t>omparando la evolución de la tas</w:t>
      </w:r>
      <w:r w:rsidRPr="002A1746">
        <w:rPr>
          <w:rFonts w:ascii="Times New Roman" w:eastAsia="Times New Roman" w:hAnsi="Times New Roman" w:cs="Times New Roman"/>
          <w:sz w:val="24"/>
          <w:szCs w:val="24"/>
          <w:lang w:val="es-ES" w:eastAsia="zh-TW" w:bidi="he-IL"/>
        </w:rPr>
        <w:t xml:space="preserve">a de riesgo de pobreza </w:t>
      </w:r>
      <w:r w:rsidR="00B87BE1" w:rsidRPr="002A1746">
        <w:rPr>
          <w:rFonts w:ascii="Times New Roman" w:eastAsia="Times New Roman" w:hAnsi="Times New Roman" w:cs="Times New Roman"/>
          <w:sz w:val="24"/>
          <w:szCs w:val="24"/>
          <w:lang w:val="es-ES" w:eastAsia="zh-TW" w:bidi="he-IL"/>
        </w:rPr>
        <w:t>utilizando como</w:t>
      </w:r>
      <w:r w:rsidR="00066AB7" w:rsidRPr="002A1746">
        <w:rPr>
          <w:rFonts w:ascii="Times New Roman" w:eastAsia="Times New Roman" w:hAnsi="Times New Roman" w:cs="Times New Roman"/>
          <w:sz w:val="24"/>
          <w:szCs w:val="24"/>
          <w:lang w:val="es-ES" w:eastAsia="zh-TW" w:bidi="he-IL"/>
        </w:rPr>
        <w:t xml:space="preserve"> umbrales </w:t>
      </w:r>
      <w:proofErr w:type="spellStart"/>
      <w:r w:rsidR="00066AB7" w:rsidRPr="002A1746">
        <w:rPr>
          <w:rFonts w:ascii="Times New Roman" w:eastAsia="Times New Roman" w:hAnsi="Times New Roman" w:cs="Times New Roman"/>
          <w:sz w:val="24"/>
          <w:szCs w:val="24"/>
          <w:lang w:val="es-ES" w:eastAsia="zh-TW" w:bidi="he-IL"/>
        </w:rPr>
        <w:t>Lp</w:t>
      </w:r>
      <w:proofErr w:type="spellEnd"/>
      <w:r w:rsidR="00066AB7" w:rsidRPr="002A1746">
        <w:rPr>
          <w:rFonts w:ascii="Times New Roman" w:eastAsia="Times New Roman" w:hAnsi="Times New Roman" w:cs="Times New Roman"/>
          <w:sz w:val="24"/>
          <w:szCs w:val="24"/>
          <w:lang w:val="es-ES" w:eastAsia="zh-TW" w:bidi="he-IL"/>
        </w:rPr>
        <w:t>, Lp1</w:t>
      </w:r>
      <w:r w:rsidR="00B87BE1" w:rsidRPr="002A1746">
        <w:rPr>
          <w:rFonts w:ascii="Times New Roman" w:eastAsia="Times New Roman" w:hAnsi="Times New Roman" w:cs="Times New Roman"/>
          <w:sz w:val="24"/>
          <w:szCs w:val="24"/>
          <w:lang w:val="es-ES" w:eastAsia="zh-TW" w:bidi="he-IL"/>
        </w:rPr>
        <w:t xml:space="preserve"> y Lp2 (variables IDE e IDEP),</w:t>
      </w:r>
      <w:r w:rsidRPr="002A1746">
        <w:rPr>
          <w:rFonts w:ascii="Times New Roman" w:eastAsia="Times New Roman" w:hAnsi="Times New Roman" w:cs="Times New Roman"/>
          <w:sz w:val="24"/>
          <w:szCs w:val="24"/>
          <w:lang w:val="es-ES" w:eastAsia="zh-TW" w:bidi="he-IL"/>
        </w:rPr>
        <w:t xml:space="preserve"> es el método tradicional de cálculo de la línea de pobreza </w:t>
      </w:r>
      <w:proofErr w:type="spellStart"/>
      <w:r w:rsidRPr="002A1746">
        <w:rPr>
          <w:rFonts w:ascii="Times New Roman" w:eastAsia="Times New Roman" w:hAnsi="Times New Roman" w:cs="Times New Roman"/>
          <w:sz w:val="24"/>
          <w:szCs w:val="24"/>
          <w:lang w:val="es-ES" w:eastAsia="zh-TW" w:bidi="he-IL"/>
        </w:rPr>
        <w:t>Lp</w:t>
      </w:r>
      <w:proofErr w:type="spellEnd"/>
      <w:r w:rsidRPr="002A1746">
        <w:rPr>
          <w:rFonts w:ascii="Times New Roman" w:eastAsia="Times New Roman" w:hAnsi="Times New Roman" w:cs="Times New Roman"/>
          <w:sz w:val="24"/>
          <w:szCs w:val="24"/>
          <w:lang w:val="es-ES" w:eastAsia="zh-TW" w:bidi="he-IL"/>
        </w:rPr>
        <w:t xml:space="preserve"> el </w:t>
      </w:r>
      <w:r w:rsidR="00F03150" w:rsidRPr="002A1746">
        <w:rPr>
          <w:rFonts w:ascii="Times New Roman" w:eastAsia="Times New Roman" w:hAnsi="Times New Roman" w:cs="Times New Roman"/>
          <w:sz w:val="24"/>
          <w:szCs w:val="24"/>
          <w:lang w:val="es-ES" w:eastAsia="zh-TW" w:bidi="he-IL"/>
        </w:rPr>
        <w:t>que presenta</w:t>
      </w:r>
      <w:r w:rsidR="00D84395" w:rsidRPr="002A1746">
        <w:rPr>
          <w:rFonts w:ascii="Times New Roman" w:eastAsia="Times New Roman" w:hAnsi="Times New Roman" w:cs="Times New Roman"/>
          <w:sz w:val="24"/>
          <w:szCs w:val="24"/>
          <w:lang w:val="es-ES" w:eastAsia="zh-TW" w:bidi="he-IL"/>
        </w:rPr>
        <w:t xml:space="preserve"> </w:t>
      </w:r>
      <w:r w:rsidR="00B87BE1" w:rsidRPr="002A1746">
        <w:rPr>
          <w:rFonts w:ascii="Times New Roman" w:eastAsia="Times New Roman" w:hAnsi="Times New Roman" w:cs="Times New Roman"/>
          <w:sz w:val="24"/>
          <w:szCs w:val="24"/>
          <w:lang w:val="es-ES" w:eastAsia="zh-TW" w:bidi="he-IL"/>
        </w:rPr>
        <w:t xml:space="preserve">el </w:t>
      </w:r>
      <w:r w:rsidR="00D84395" w:rsidRPr="002A1746">
        <w:rPr>
          <w:rFonts w:ascii="Times New Roman" w:eastAsia="Times New Roman" w:hAnsi="Times New Roman" w:cs="Times New Roman"/>
          <w:sz w:val="24"/>
          <w:szCs w:val="24"/>
          <w:lang w:val="es-ES" w:eastAsia="zh-TW" w:bidi="he-IL"/>
        </w:rPr>
        <w:t xml:space="preserve">menor </w:t>
      </w:r>
      <w:r w:rsidR="00B87BE1" w:rsidRPr="002A1746">
        <w:rPr>
          <w:rFonts w:ascii="Times New Roman" w:eastAsia="Times New Roman" w:hAnsi="Times New Roman" w:cs="Times New Roman"/>
          <w:sz w:val="24"/>
          <w:szCs w:val="24"/>
          <w:lang w:val="es-ES" w:eastAsia="zh-TW" w:bidi="he-IL"/>
        </w:rPr>
        <w:t>incremento</w:t>
      </w:r>
      <w:r w:rsidR="00D84395" w:rsidRPr="002A1746">
        <w:rPr>
          <w:rFonts w:ascii="Times New Roman" w:eastAsia="Times New Roman" w:hAnsi="Times New Roman" w:cs="Times New Roman"/>
          <w:sz w:val="24"/>
          <w:szCs w:val="24"/>
          <w:lang w:val="es-ES" w:eastAsia="zh-TW" w:bidi="he-IL"/>
        </w:rPr>
        <w:t xml:space="preserve"> en el periodo</w:t>
      </w:r>
      <w:r w:rsidR="005E0C3D" w:rsidRPr="002A1746">
        <w:rPr>
          <w:rFonts w:ascii="Times New Roman" w:eastAsia="Times New Roman" w:hAnsi="Times New Roman" w:cs="Times New Roman"/>
          <w:sz w:val="24"/>
          <w:szCs w:val="24"/>
          <w:lang w:val="es-ES" w:eastAsia="zh-TW" w:bidi="he-IL"/>
        </w:rPr>
        <w:t xml:space="preserve"> analizado,</w:t>
      </w:r>
      <w:r w:rsidR="00E14D20" w:rsidRPr="002A1746">
        <w:rPr>
          <w:rFonts w:ascii="Times New Roman" w:eastAsia="Times New Roman" w:hAnsi="Times New Roman" w:cs="Times New Roman"/>
          <w:sz w:val="24"/>
          <w:szCs w:val="24"/>
          <w:lang w:val="es-ES" w:eastAsia="zh-TW" w:bidi="he-IL"/>
        </w:rPr>
        <w:t xml:space="preserve"> </w:t>
      </w:r>
      <w:r w:rsidR="00B87BE1" w:rsidRPr="002A1746">
        <w:rPr>
          <w:rFonts w:ascii="Times New Roman" w:eastAsia="Times New Roman" w:hAnsi="Times New Roman" w:cs="Times New Roman"/>
          <w:sz w:val="24"/>
          <w:szCs w:val="24"/>
          <w:lang w:val="es-ES" w:eastAsia="zh-TW" w:bidi="he-IL"/>
        </w:rPr>
        <w:t xml:space="preserve">reflejando el mayor porcentaje </w:t>
      </w:r>
      <w:r w:rsidRPr="002A1746">
        <w:rPr>
          <w:rFonts w:ascii="Times New Roman" w:eastAsia="Times New Roman" w:hAnsi="Times New Roman" w:cs="Times New Roman"/>
          <w:sz w:val="24"/>
          <w:szCs w:val="24"/>
          <w:lang w:val="es-ES" w:eastAsia="zh-TW" w:bidi="he-IL"/>
        </w:rPr>
        <w:t xml:space="preserve">de pobres </w:t>
      </w:r>
      <w:r w:rsidR="00B87BE1" w:rsidRPr="002A1746">
        <w:rPr>
          <w:rFonts w:ascii="Times New Roman" w:eastAsia="Times New Roman" w:hAnsi="Times New Roman" w:cs="Times New Roman"/>
          <w:sz w:val="24"/>
          <w:szCs w:val="24"/>
          <w:lang w:val="es-ES" w:eastAsia="zh-TW" w:bidi="he-IL"/>
        </w:rPr>
        <w:t>(</w:t>
      </w:r>
      <w:r w:rsidR="00E14D20" w:rsidRPr="002A1746">
        <w:rPr>
          <w:rFonts w:ascii="Times New Roman" w:eastAsia="Times New Roman" w:hAnsi="Times New Roman" w:cs="Times New Roman"/>
          <w:sz w:val="24"/>
          <w:szCs w:val="24"/>
          <w:lang w:val="es-ES" w:eastAsia="zh-TW" w:bidi="he-IL"/>
        </w:rPr>
        <w:t>20.69%</w:t>
      </w:r>
      <w:r w:rsidR="00B87BE1" w:rsidRPr="002A1746">
        <w:rPr>
          <w:rFonts w:ascii="Times New Roman" w:eastAsia="Times New Roman" w:hAnsi="Times New Roman" w:cs="Times New Roman"/>
          <w:sz w:val="24"/>
          <w:szCs w:val="24"/>
          <w:lang w:val="es-ES" w:eastAsia="zh-TW" w:bidi="he-IL"/>
        </w:rPr>
        <w:t>)</w:t>
      </w:r>
      <w:r w:rsidR="00E14D20" w:rsidRPr="002A1746">
        <w:rPr>
          <w:rFonts w:ascii="Times New Roman" w:eastAsia="Times New Roman" w:hAnsi="Times New Roman" w:cs="Times New Roman"/>
          <w:sz w:val="24"/>
          <w:szCs w:val="24"/>
          <w:lang w:val="es-ES" w:eastAsia="zh-TW" w:bidi="he-IL"/>
        </w:rPr>
        <w:t xml:space="preserve"> en 2008 </w:t>
      </w:r>
      <w:r w:rsidR="00B87BE1" w:rsidRPr="002A1746">
        <w:rPr>
          <w:rFonts w:ascii="Times New Roman" w:eastAsia="Times New Roman" w:hAnsi="Times New Roman" w:cs="Times New Roman"/>
          <w:sz w:val="24"/>
          <w:szCs w:val="24"/>
          <w:lang w:val="es-ES" w:eastAsia="zh-TW" w:bidi="he-IL"/>
        </w:rPr>
        <w:t xml:space="preserve">y el menor (22.29%) en 2012. </w:t>
      </w:r>
      <w:r w:rsidR="00D84395" w:rsidRPr="002A1746">
        <w:rPr>
          <w:rFonts w:ascii="Times New Roman" w:eastAsia="Times New Roman" w:hAnsi="Times New Roman" w:cs="Times New Roman"/>
          <w:sz w:val="24"/>
          <w:szCs w:val="24"/>
          <w:lang w:val="es-ES" w:eastAsia="zh-TW" w:bidi="he-IL"/>
        </w:rPr>
        <w:t>La fijación del umbral en 7580€</w:t>
      </w:r>
      <w:r w:rsidR="007C0F9F" w:rsidRPr="002A1746">
        <w:rPr>
          <w:rFonts w:ascii="Times New Roman" w:eastAsia="Times New Roman" w:hAnsi="Times New Roman" w:cs="Times New Roman"/>
          <w:sz w:val="24"/>
          <w:szCs w:val="24"/>
          <w:lang w:val="es-ES" w:eastAsia="zh-TW" w:bidi="he-IL"/>
        </w:rPr>
        <w:t xml:space="preserve"> </w:t>
      </w:r>
      <w:r w:rsidR="00286E33" w:rsidRPr="002A1746">
        <w:rPr>
          <w:rFonts w:ascii="Times New Roman" w:eastAsia="Times New Roman" w:hAnsi="Times New Roman" w:cs="Times New Roman"/>
          <w:sz w:val="24"/>
          <w:szCs w:val="24"/>
          <w:lang w:val="es-ES" w:eastAsia="zh-TW" w:bidi="he-IL"/>
        </w:rPr>
        <w:t xml:space="preserve">(Lp1) </w:t>
      </w:r>
      <w:r w:rsidR="00D84395" w:rsidRPr="002A1746">
        <w:rPr>
          <w:rFonts w:ascii="Times New Roman" w:eastAsia="Times New Roman" w:hAnsi="Times New Roman" w:cs="Times New Roman"/>
          <w:sz w:val="24"/>
          <w:szCs w:val="24"/>
          <w:lang w:val="es-ES" w:eastAsia="zh-TW" w:bidi="he-IL"/>
        </w:rPr>
        <w:t>para todo el periodo hace que tanto la caída</w:t>
      </w:r>
      <w:r w:rsidR="002373C6" w:rsidRPr="002A1746">
        <w:rPr>
          <w:rFonts w:ascii="Times New Roman" w:eastAsia="Times New Roman" w:hAnsi="Times New Roman" w:cs="Times New Roman"/>
          <w:sz w:val="24"/>
          <w:szCs w:val="24"/>
          <w:lang w:val="es-ES" w:eastAsia="zh-TW" w:bidi="he-IL"/>
        </w:rPr>
        <w:t>,</w:t>
      </w:r>
      <w:r w:rsidR="00D84395" w:rsidRPr="002A1746">
        <w:rPr>
          <w:rFonts w:ascii="Times New Roman" w:eastAsia="Times New Roman" w:hAnsi="Times New Roman" w:cs="Times New Roman"/>
          <w:sz w:val="24"/>
          <w:szCs w:val="24"/>
          <w:lang w:val="es-ES" w:eastAsia="zh-TW" w:bidi="he-IL"/>
        </w:rPr>
        <w:t xml:space="preserve"> primero</w:t>
      </w:r>
      <w:r w:rsidR="002373C6" w:rsidRPr="002A1746">
        <w:rPr>
          <w:rFonts w:ascii="Times New Roman" w:eastAsia="Times New Roman" w:hAnsi="Times New Roman" w:cs="Times New Roman"/>
          <w:sz w:val="24"/>
          <w:szCs w:val="24"/>
          <w:lang w:val="es-ES" w:eastAsia="zh-TW" w:bidi="he-IL"/>
        </w:rPr>
        <w:t>,</w:t>
      </w:r>
      <w:r w:rsidR="00D84395" w:rsidRPr="002A1746">
        <w:rPr>
          <w:rFonts w:ascii="Times New Roman" w:eastAsia="Times New Roman" w:hAnsi="Times New Roman" w:cs="Times New Roman"/>
          <w:sz w:val="24"/>
          <w:szCs w:val="24"/>
          <w:lang w:val="es-ES" w:eastAsia="zh-TW" w:bidi="he-IL"/>
        </w:rPr>
        <w:t xml:space="preserve"> como el repunte</w:t>
      </w:r>
      <w:r w:rsidR="002373C6" w:rsidRPr="002A1746">
        <w:rPr>
          <w:rFonts w:ascii="Times New Roman" w:eastAsia="Times New Roman" w:hAnsi="Times New Roman" w:cs="Times New Roman"/>
          <w:sz w:val="24"/>
          <w:szCs w:val="24"/>
          <w:lang w:val="es-ES" w:eastAsia="zh-TW" w:bidi="he-IL"/>
        </w:rPr>
        <w:t xml:space="preserve"> </w:t>
      </w:r>
      <w:r w:rsidR="00D84395" w:rsidRPr="002A1746">
        <w:rPr>
          <w:rFonts w:ascii="Times New Roman" w:eastAsia="Times New Roman" w:hAnsi="Times New Roman" w:cs="Times New Roman"/>
          <w:sz w:val="24"/>
          <w:szCs w:val="24"/>
          <w:lang w:val="es-ES" w:eastAsia="zh-TW" w:bidi="he-IL"/>
        </w:rPr>
        <w:t>de la pobreza</w:t>
      </w:r>
      <w:r w:rsidR="002373C6" w:rsidRPr="002A1746">
        <w:rPr>
          <w:rFonts w:ascii="Times New Roman" w:eastAsia="Times New Roman" w:hAnsi="Times New Roman" w:cs="Times New Roman"/>
          <w:sz w:val="24"/>
          <w:szCs w:val="24"/>
          <w:lang w:val="es-ES" w:eastAsia="zh-TW" w:bidi="he-IL"/>
        </w:rPr>
        <w:t xml:space="preserve">, después, </w:t>
      </w:r>
      <w:r w:rsidR="00B87BE1" w:rsidRPr="002A1746">
        <w:rPr>
          <w:rFonts w:ascii="Times New Roman" w:eastAsia="Times New Roman" w:hAnsi="Times New Roman" w:cs="Times New Roman"/>
          <w:sz w:val="24"/>
          <w:szCs w:val="24"/>
          <w:lang w:val="es-ES" w:eastAsia="zh-TW" w:bidi="he-IL"/>
        </w:rPr>
        <w:t>sean más fuertes que con</w:t>
      </w:r>
      <w:r w:rsidR="00D84395" w:rsidRPr="002A1746">
        <w:rPr>
          <w:rFonts w:ascii="Times New Roman" w:eastAsia="Times New Roman" w:hAnsi="Times New Roman" w:cs="Times New Roman"/>
          <w:sz w:val="24"/>
          <w:szCs w:val="24"/>
          <w:lang w:val="es-ES" w:eastAsia="zh-TW" w:bidi="he-IL"/>
        </w:rPr>
        <w:t xml:space="preserve"> </w:t>
      </w:r>
      <w:proofErr w:type="spellStart"/>
      <w:r w:rsidR="00286E33" w:rsidRPr="002A1746">
        <w:rPr>
          <w:rFonts w:ascii="Times New Roman" w:eastAsia="Times New Roman" w:hAnsi="Times New Roman" w:cs="Times New Roman"/>
          <w:sz w:val="24"/>
          <w:szCs w:val="24"/>
          <w:lang w:val="es-ES" w:eastAsia="zh-TW" w:bidi="he-IL"/>
        </w:rPr>
        <w:t>Lp</w:t>
      </w:r>
      <w:proofErr w:type="spellEnd"/>
      <w:r w:rsidR="00D84395" w:rsidRPr="002A1746">
        <w:rPr>
          <w:rFonts w:ascii="Times New Roman" w:eastAsia="Times New Roman" w:hAnsi="Times New Roman" w:cs="Times New Roman"/>
          <w:sz w:val="24"/>
          <w:szCs w:val="24"/>
          <w:lang w:val="es-ES" w:eastAsia="zh-TW" w:bidi="he-IL"/>
        </w:rPr>
        <w:t xml:space="preserve">. </w:t>
      </w:r>
      <w:r w:rsidR="00897BA6" w:rsidRPr="002A1746">
        <w:rPr>
          <w:rFonts w:ascii="Times New Roman" w:eastAsia="Times New Roman" w:hAnsi="Times New Roman" w:cs="Times New Roman"/>
          <w:sz w:val="24"/>
          <w:szCs w:val="24"/>
          <w:lang w:val="es-ES" w:eastAsia="zh-TW" w:bidi="he-IL"/>
        </w:rPr>
        <w:t>El hecho de que el umbral tradicional (</w:t>
      </w:r>
      <w:proofErr w:type="spellStart"/>
      <w:r w:rsidR="00D84395" w:rsidRPr="002A1746">
        <w:rPr>
          <w:rFonts w:ascii="Times New Roman" w:eastAsia="Times New Roman" w:hAnsi="Times New Roman" w:cs="Times New Roman"/>
          <w:sz w:val="24"/>
          <w:szCs w:val="24"/>
          <w:lang w:val="es-ES" w:eastAsia="zh-TW" w:bidi="he-IL"/>
        </w:rPr>
        <w:t>L</w:t>
      </w:r>
      <w:r w:rsidR="00286E33" w:rsidRPr="002A1746">
        <w:rPr>
          <w:rFonts w:ascii="Times New Roman" w:eastAsia="Times New Roman" w:hAnsi="Times New Roman" w:cs="Times New Roman"/>
          <w:sz w:val="24"/>
          <w:szCs w:val="24"/>
          <w:lang w:val="es-ES" w:eastAsia="zh-TW" w:bidi="he-IL"/>
        </w:rPr>
        <w:t>p</w:t>
      </w:r>
      <w:proofErr w:type="spellEnd"/>
      <w:r w:rsidR="00897BA6" w:rsidRPr="002A1746">
        <w:rPr>
          <w:rFonts w:ascii="Times New Roman" w:eastAsia="Times New Roman" w:hAnsi="Times New Roman" w:cs="Times New Roman"/>
          <w:sz w:val="24"/>
          <w:szCs w:val="24"/>
          <w:lang w:val="es-ES" w:eastAsia="zh-TW" w:bidi="he-IL"/>
        </w:rPr>
        <w:t>)</w:t>
      </w:r>
      <w:r w:rsidR="00286E33" w:rsidRPr="002A1746">
        <w:rPr>
          <w:rFonts w:ascii="Times New Roman" w:eastAsia="Times New Roman" w:hAnsi="Times New Roman" w:cs="Times New Roman"/>
          <w:sz w:val="24"/>
          <w:szCs w:val="24"/>
          <w:lang w:val="es-ES" w:eastAsia="zh-TW" w:bidi="he-IL"/>
        </w:rPr>
        <w:t xml:space="preserve"> </w:t>
      </w:r>
      <w:r w:rsidR="00897BA6" w:rsidRPr="002A1746">
        <w:rPr>
          <w:rFonts w:ascii="Times New Roman" w:eastAsia="Times New Roman" w:hAnsi="Times New Roman" w:cs="Times New Roman"/>
          <w:sz w:val="24"/>
          <w:szCs w:val="24"/>
          <w:lang w:val="es-ES" w:eastAsia="zh-TW" w:bidi="he-IL"/>
        </w:rPr>
        <w:t xml:space="preserve">varíe en función de la mediana de ingresos de cada año provoca </w:t>
      </w:r>
      <w:r w:rsidR="00897BA6" w:rsidRPr="002A1746">
        <w:rPr>
          <w:rFonts w:ascii="Times New Roman" w:eastAsia="Times New Roman" w:hAnsi="Times New Roman" w:cs="Times New Roman"/>
          <w:sz w:val="24"/>
          <w:szCs w:val="24"/>
          <w:lang w:val="es-ES" w:eastAsia="zh-TW" w:bidi="he-IL"/>
        </w:rPr>
        <w:lastRenderedPageBreak/>
        <w:t>que con la recesión económica el umbral de pobreza vaya cayendo con el tiempo, escondiendo situaciones de pobreza que los umbrales constantes en e</w:t>
      </w:r>
      <w:r w:rsidR="00B87BE1" w:rsidRPr="002A1746">
        <w:rPr>
          <w:rFonts w:ascii="Times New Roman" w:eastAsia="Times New Roman" w:hAnsi="Times New Roman" w:cs="Times New Roman"/>
          <w:sz w:val="24"/>
          <w:szCs w:val="24"/>
          <w:lang w:val="es-ES" w:eastAsia="zh-TW" w:bidi="he-IL"/>
        </w:rPr>
        <w:t>l tiempo como Lp1 y, aún más,</w:t>
      </w:r>
      <w:r w:rsidR="00897BA6" w:rsidRPr="002A1746">
        <w:rPr>
          <w:rFonts w:ascii="Times New Roman" w:eastAsia="Times New Roman" w:hAnsi="Times New Roman" w:cs="Times New Roman"/>
          <w:sz w:val="24"/>
          <w:szCs w:val="24"/>
          <w:lang w:val="es-ES" w:eastAsia="zh-TW" w:bidi="he-IL"/>
        </w:rPr>
        <w:t xml:space="preserve"> Lp2 son capaces de reflejar</w:t>
      </w:r>
      <w:r w:rsidR="009B6D14" w:rsidRPr="002A1746">
        <w:rPr>
          <w:rFonts w:ascii="Times New Roman" w:eastAsia="Times New Roman" w:hAnsi="Times New Roman" w:cs="Times New Roman"/>
          <w:sz w:val="24"/>
          <w:szCs w:val="24"/>
          <w:lang w:val="es-ES" w:eastAsia="zh-TW" w:bidi="he-IL"/>
        </w:rPr>
        <w:t>.</w:t>
      </w:r>
      <w:r w:rsidR="00897BA6" w:rsidRPr="002A1746">
        <w:rPr>
          <w:rFonts w:ascii="Times New Roman" w:eastAsia="Times New Roman" w:hAnsi="Times New Roman" w:cs="Times New Roman"/>
          <w:sz w:val="24"/>
          <w:szCs w:val="24"/>
          <w:lang w:val="es-ES" w:eastAsia="zh-TW" w:bidi="he-IL"/>
        </w:rPr>
        <w:t xml:space="preserve"> </w:t>
      </w:r>
      <w:r w:rsidR="009B6D14" w:rsidRPr="002A1746">
        <w:rPr>
          <w:rFonts w:ascii="Times New Roman" w:eastAsia="Times New Roman" w:hAnsi="Times New Roman" w:cs="Times New Roman"/>
          <w:sz w:val="24"/>
          <w:szCs w:val="24"/>
          <w:lang w:val="es-ES" w:eastAsia="zh-TW" w:bidi="he-IL"/>
        </w:rPr>
        <w:t xml:space="preserve">Así, por ejemplo, manteniendo constante para todo el período la línea de pobreza de 2008 (incluso en </w:t>
      </w:r>
      <w:proofErr w:type="spellStart"/>
      <w:r w:rsidR="009B6D14" w:rsidRPr="002A1746">
        <w:rPr>
          <w:rFonts w:ascii="Times New Roman" w:eastAsia="Times New Roman" w:hAnsi="Times New Roman" w:cs="Times New Roman"/>
          <w:sz w:val="24"/>
          <w:szCs w:val="24"/>
          <w:lang w:val="es-ES" w:eastAsia="zh-TW" w:bidi="he-IL"/>
        </w:rPr>
        <w:t>u.m</w:t>
      </w:r>
      <w:proofErr w:type="spellEnd"/>
      <w:r w:rsidR="009B6D14" w:rsidRPr="002A1746">
        <w:rPr>
          <w:rFonts w:ascii="Times New Roman" w:eastAsia="Times New Roman" w:hAnsi="Times New Roman" w:cs="Times New Roman"/>
          <w:sz w:val="24"/>
          <w:szCs w:val="24"/>
          <w:lang w:val="es-ES" w:eastAsia="zh-TW" w:bidi="he-IL"/>
        </w:rPr>
        <w:t xml:space="preserve">. corrientes), </w:t>
      </w:r>
      <w:r w:rsidR="002373C6" w:rsidRPr="002A1746">
        <w:rPr>
          <w:rFonts w:ascii="Times New Roman" w:eastAsia="Times New Roman" w:hAnsi="Times New Roman" w:cs="Times New Roman"/>
          <w:sz w:val="24"/>
          <w:szCs w:val="24"/>
          <w:lang w:val="es-ES" w:eastAsia="zh-TW" w:bidi="he-IL"/>
        </w:rPr>
        <w:t xml:space="preserve">en 2012 la población con menos de 7580€ </w:t>
      </w:r>
      <w:r w:rsidR="009B6D14" w:rsidRPr="002A1746">
        <w:rPr>
          <w:rFonts w:ascii="Times New Roman" w:eastAsia="Times New Roman" w:hAnsi="Times New Roman" w:cs="Times New Roman"/>
          <w:sz w:val="24"/>
          <w:szCs w:val="24"/>
          <w:lang w:val="es-ES" w:eastAsia="zh-TW" w:bidi="he-IL"/>
        </w:rPr>
        <w:t xml:space="preserve">(Lp1) </w:t>
      </w:r>
      <w:r w:rsidR="002373C6" w:rsidRPr="002A1746">
        <w:rPr>
          <w:rFonts w:ascii="Times New Roman" w:eastAsia="Times New Roman" w:hAnsi="Times New Roman" w:cs="Times New Roman"/>
          <w:sz w:val="24"/>
          <w:szCs w:val="24"/>
          <w:lang w:val="es-ES" w:eastAsia="zh-TW" w:bidi="he-IL"/>
        </w:rPr>
        <w:t>es cerca de cuatro puntos porcentuales superior a la de 2008, mientras que el método tradicional reflejaría poco menos de dos puntos porcentua</w:t>
      </w:r>
      <w:r w:rsidR="009B6D14" w:rsidRPr="002A1746">
        <w:rPr>
          <w:rFonts w:ascii="Times New Roman" w:eastAsia="Times New Roman" w:hAnsi="Times New Roman" w:cs="Times New Roman"/>
          <w:sz w:val="24"/>
          <w:szCs w:val="24"/>
          <w:lang w:val="es-ES" w:eastAsia="zh-TW" w:bidi="he-IL"/>
        </w:rPr>
        <w:t>les de incremento.</w:t>
      </w:r>
    </w:p>
    <w:p w:rsidR="00767F1C" w:rsidRPr="002A1746" w:rsidRDefault="00400FBB" w:rsidP="00961892">
      <w:pPr>
        <w:spacing w:before="120" w:after="120" w:line="360" w:lineRule="auto"/>
        <w:jc w:val="both"/>
        <w:rPr>
          <w:rFonts w:ascii="Times New Roman" w:eastAsia="Times New Roman" w:hAnsi="Times New Roman" w:cs="Times New Roman"/>
          <w:sz w:val="24"/>
          <w:szCs w:val="24"/>
          <w:lang w:val="es-ES" w:eastAsia="zh-TW" w:bidi="he-IL"/>
        </w:rPr>
      </w:pPr>
      <w:r w:rsidRPr="002A1746">
        <w:rPr>
          <w:rFonts w:ascii="Times New Roman" w:eastAsia="Times New Roman" w:hAnsi="Times New Roman" w:cs="Times New Roman"/>
          <w:sz w:val="24"/>
          <w:szCs w:val="24"/>
          <w:lang w:val="es-ES" w:eastAsia="zh-TW" w:bidi="he-IL"/>
        </w:rPr>
        <w:t>Al</w:t>
      </w:r>
      <w:r w:rsidR="002373C6" w:rsidRPr="002A1746">
        <w:rPr>
          <w:rFonts w:ascii="Times New Roman" w:eastAsia="Times New Roman" w:hAnsi="Times New Roman" w:cs="Times New Roman"/>
          <w:sz w:val="24"/>
          <w:szCs w:val="24"/>
          <w:lang w:val="es-ES" w:eastAsia="zh-TW" w:bidi="he-IL"/>
        </w:rPr>
        <w:t xml:space="preserve"> corregi</w:t>
      </w:r>
      <w:r w:rsidRPr="002A1746">
        <w:rPr>
          <w:rFonts w:ascii="Times New Roman" w:eastAsia="Times New Roman" w:hAnsi="Times New Roman" w:cs="Times New Roman"/>
          <w:sz w:val="24"/>
          <w:szCs w:val="24"/>
          <w:lang w:val="es-ES" w:eastAsia="zh-TW" w:bidi="he-IL"/>
        </w:rPr>
        <w:t>r</w:t>
      </w:r>
      <w:r w:rsidR="002373C6" w:rsidRPr="002A1746">
        <w:rPr>
          <w:rFonts w:ascii="Times New Roman" w:eastAsia="Times New Roman" w:hAnsi="Times New Roman" w:cs="Times New Roman"/>
          <w:sz w:val="24"/>
          <w:szCs w:val="24"/>
          <w:lang w:val="es-ES" w:eastAsia="zh-TW" w:bidi="he-IL"/>
        </w:rPr>
        <w:t xml:space="preserve"> las rentas con las PPA</w:t>
      </w:r>
      <w:r w:rsidR="00E76BBD" w:rsidRPr="002A1746">
        <w:rPr>
          <w:rFonts w:ascii="Times New Roman" w:eastAsia="Times New Roman" w:hAnsi="Times New Roman" w:cs="Times New Roman"/>
          <w:sz w:val="24"/>
          <w:szCs w:val="24"/>
          <w:lang w:val="es-ES" w:eastAsia="zh-TW" w:bidi="he-IL"/>
        </w:rPr>
        <w:t xml:space="preserve"> regionales y deflacta</w:t>
      </w:r>
      <w:r w:rsidRPr="002A1746">
        <w:rPr>
          <w:rFonts w:ascii="Times New Roman" w:eastAsia="Times New Roman" w:hAnsi="Times New Roman" w:cs="Times New Roman"/>
          <w:sz w:val="24"/>
          <w:szCs w:val="24"/>
          <w:lang w:val="es-ES" w:eastAsia="zh-TW" w:bidi="he-IL"/>
        </w:rPr>
        <w:t>r con</w:t>
      </w:r>
      <w:r w:rsidR="00E76BBD" w:rsidRPr="002A1746">
        <w:rPr>
          <w:rFonts w:ascii="Times New Roman" w:eastAsia="Times New Roman" w:hAnsi="Times New Roman" w:cs="Times New Roman"/>
          <w:sz w:val="24"/>
          <w:szCs w:val="24"/>
          <w:lang w:val="es-ES" w:eastAsia="zh-TW" w:bidi="he-IL"/>
        </w:rPr>
        <w:t xml:space="preserve"> el IPC estatal</w:t>
      </w:r>
      <w:r w:rsidR="00286E33" w:rsidRPr="002A1746">
        <w:rPr>
          <w:rFonts w:ascii="Times New Roman" w:eastAsia="Times New Roman" w:hAnsi="Times New Roman" w:cs="Times New Roman"/>
          <w:sz w:val="24"/>
          <w:szCs w:val="24"/>
          <w:lang w:val="es-ES" w:eastAsia="zh-TW" w:bidi="he-IL"/>
        </w:rPr>
        <w:t xml:space="preserve"> (Lp2)</w:t>
      </w:r>
      <w:r w:rsidR="002373C6" w:rsidRPr="002A1746">
        <w:rPr>
          <w:rFonts w:ascii="Times New Roman" w:eastAsia="Times New Roman" w:hAnsi="Times New Roman" w:cs="Times New Roman"/>
          <w:sz w:val="24"/>
          <w:szCs w:val="24"/>
          <w:lang w:val="es-ES" w:eastAsia="zh-TW" w:bidi="he-IL"/>
        </w:rPr>
        <w:t xml:space="preserve">, </w:t>
      </w:r>
      <w:r w:rsidRPr="002A1746">
        <w:rPr>
          <w:rFonts w:ascii="Times New Roman" w:eastAsia="Times New Roman" w:hAnsi="Times New Roman" w:cs="Times New Roman"/>
          <w:sz w:val="24"/>
          <w:szCs w:val="24"/>
          <w:lang w:val="es-ES" w:eastAsia="zh-TW" w:bidi="he-IL"/>
        </w:rPr>
        <w:t>obtenemos rentas reales (expresadas en euros de 2007)</w:t>
      </w:r>
      <w:r w:rsidR="007F3FAB" w:rsidRPr="002A1746">
        <w:rPr>
          <w:rFonts w:ascii="Times New Roman" w:eastAsia="Times New Roman" w:hAnsi="Times New Roman" w:cs="Times New Roman"/>
          <w:sz w:val="24"/>
          <w:szCs w:val="24"/>
          <w:lang w:val="es-ES" w:eastAsia="zh-TW" w:bidi="he-IL"/>
        </w:rPr>
        <w:t xml:space="preserve">, </w:t>
      </w:r>
      <w:r w:rsidRPr="002A1746">
        <w:rPr>
          <w:rFonts w:ascii="Times New Roman" w:eastAsia="Times New Roman" w:hAnsi="Times New Roman" w:cs="Times New Roman"/>
          <w:sz w:val="24"/>
          <w:szCs w:val="24"/>
          <w:lang w:val="es-ES" w:eastAsia="zh-TW" w:bidi="he-IL"/>
        </w:rPr>
        <w:t xml:space="preserve">con la misma capacidad de compra tanto a lo largo de los años como en las </w:t>
      </w:r>
      <w:r w:rsidR="002373C6" w:rsidRPr="002A1746">
        <w:rPr>
          <w:rFonts w:ascii="Times New Roman" w:eastAsia="Times New Roman" w:hAnsi="Times New Roman" w:cs="Times New Roman"/>
          <w:sz w:val="24"/>
          <w:szCs w:val="24"/>
          <w:lang w:val="es-ES" w:eastAsia="zh-TW" w:bidi="he-IL"/>
        </w:rPr>
        <w:t xml:space="preserve">regiones españolas. </w:t>
      </w:r>
      <w:r w:rsidR="007F3FAB" w:rsidRPr="002A1746">
        <w:rPr>
          <w:rFonts w:ascii="Times New Roman" w:eastAsia="Times New Roman" w:hAnsi="Times New Roman" w:cs="Times New Roman"/>
          <w:sz w:val="24"/>
          <w:szCs w:val="24"/>
          <w:lang w:val="es-ES" w:eastAsia="zh-TW" w:bidi="he-IL"/>
        </w:rPr>
        <w:t xml:space="preserve">Utilizando pues la variable IDEP y la línea de pobreza Lp2, la tasa de riesgo de pobreza </w:t>
      </w:r>
      <w:r w:rsidR="007C0F9F" w:rsidRPr="002A1746">
        <w:rPr>
          <w:rFonts w:ascii="Times New Roman" w:eastAsia="Times New Roman" w:hAnsi="Times New Roman" w:cs="Times New Roman"/>
          <w:sz w:val="24"/>
          <w:szCs w:val="24"/>
          <w:lang w:val="es-ES" w:eastAsia="zh-TW" w:bidi="he-IL"/>
        </w:rPr>
        <w:t>manifi</w:t>
      </w:r>
      <w:r w:rsidR="003002B2" w:rsidRPr="002A1746">
        <w:rPr>
          <w:rFonts w:ascii="Times New Roman" w:eastAsia="Times New Roman" w:hAnsi="Times New Roman" w:cs="Times New Roman"/>
          <w:sz w:val="24"/>
          <w:szCs w:val="24"/>
          <w:lang w:val="es-ES" w:eastAsia="zh-TW" w:bidi="he-IL"/>
        </w:rPr>
        <w:t>esta</w:t>
      </w:r>
      <w:r w:rsidR="007F3FAB" w:rsidRPr="002A1746">
        <w:rPr>
          <w:rFonts w:ascii="Times New Roman" w:eastAsia="Times New Roman" w:hAnsi="Times New Roman" w:cs="Times New Roman"/>
          <w:sz w:val="24"/>
          <w:szCs w:val="24"/>
          <w:lang w:val="es-ES" w:eastAsia="zh-TW" w:bidi="he-IL"/>
        </w:rPr>
        <w:t xml:space="preserve"> el</w:t>
      </w:r>
      <w:r w:rsidR="007C0F9F" w:rsidRPr="002A1746">
        <w:rPr>
          <w:rFonts w:ascii="Times New Roman" w:eastAsia="Times New Roman" w:hAnsi="Times New Roman" w:cs="Times New Roman"/>
          <w:sz w:val="24"/>
          <w:szCs w:val="24"/>
          <w:lang w:val="es-ES" w:eastAsia="zh-TW" w:bidi="he-IL"/>
        </w:rPr>
        <w:t xml:space="preserve"> </w:t>
      </w:r>
      <w:r w:rsidR="003002B2" w:rsidRPr="002A1746">
        <w:rPr>
          <w:rFonts w:ascii="Times New Roman" w:eastAsia="Times New Roman" w:hAnsi="Times New Roman" w:cs="Times New Roman"/>
          <w:sz w:val="24"/>
          <w:szCs w:val="24"/>
          <w:lang w:val="es-ES" w:eastAsia="zh-TW" w:bidi="he-IL"/>
        </w:rPr>
        <w:t xml:space="preserve">mayor crecimiento (alrededor de 8 puntos), </w:t>
      </w:r>
      <w:r w:rsidR="007F3FAB" w:rsidRPr="002A1746">
        <w:rPr>
          <w:rFonts w:ascii="Times New Roman" w:eastAsia="Times New Roman" w:hAnsi="Times New Roman" w:cs="Times New Roman"/>
          <w:sz w:val="24"/>
          <w:szCs w:val="24"/>
          <w:lang w:val="es-ES" w:eastAsia="zh-TW" w:bidi="he-IL"/>
        </w:rPr>
        <w:t xml:space="preserve">pasando del 19.77% de población pobre en 2008 a un 27,14% </w:t>
      </w:r>
      <w:r w:rsidR="00286E33" w:rsidRPr="002A1746">
        <w:rPr>
          <w:rFonts w:ascii="Times New Roman" w:eastAsia="Times New Roman" w:hAnsi="Times New Roman" w:cs="Times New Roman"/>
          <w:sz w:val="24"/>
          <w:szCs w:val="24"/>
          <w:lang w:val="es-ES" w:eastAsia="zh-TW" w:bidi="he-IL"/>
        </w:rPr>
        <w:t xml:space="preserve">en 2012. </w:t>
      </w:r>
    </w:p>
    <w:p w:rsidR="00BF3FA3" w:rsidRPr="002A1746" w:rsidRDefault="00BF3FA3" w:rsidP="00AD37B1">
      <w:pPr>
        <w:spacing w:before="120" w:after="120" w:line="360" w:lineRule="auto"/>
        <w:jc w:val="both"/>
        <w:rPr>
          <w:rFonts w:ascii="Times New Roman" w:eastAsia="Times New Roman" w:hAnsi="Times New Roman" w:cs="Times New Roman"/>
          <w:sz w:val="24"/>
          <w:szCs w:val="24"/>
          <w:lang w:val="es-ES" w:eastAsia="zh-TW" w:bidi="he-IL"/>
        </w:rPr>
      </w:pPr>
      <w:r w:rsidRPr="002A1746">
        <w:rPr>
          <w:rFonts w:ascii="Times New Roman" w:eastAsia="Times New Roman" w:hAnsi="Times New Roman" w:cs="Times New Roman"/>
          <w:sz w:val="24"/>
          <w:szCs w:val="24"/>
          <w:lang w:val="es-ES" w:eastAsia="zh-TW" w:bidi="he-IL"/>
        </w:rPr>
        <w:t>Comparando según el número de personas,</w:t>
      </w:r>
      <w:r w:rsidR="00767F1C" w:rsidRPr="002A1746">
        <w:rPr>
          <w:rFonts w:ascii="Times New Roman" w:eastAsia="Times New Roman" w:hAnsi="Times New Roman" w:cs="Times New Roman"/>
          <w:sz w:val="24"/>
          <w:szCs w:val="24"/>
          <w:lang w:val="es-ES" w:eastAsia="zh-TW" w:bidi="he-IL"/>
        </w:rPr>
        <w:t xml:space="preserve"> utilizando el umbral estándar </w:t>
      </w:r>
      <w:proofErr w:type="spellStart"/>
      <w:r w:rsidR="00767F1C" w:rsidRPr="002A1746">
        <w:rPr>
          <w:rFonts w:ascii="Times New Roman" w:eastAsia="Times New Roman" w:hAnsi="Times New Roman" w:cs="Times New Roman"/>
          <w:sz w:val="24"/>
          <w:szCs w:val="24"/>
          <w:lang w:val="es-ES" w:eastAsia="zh-TW" w:bidi="he-IL"/>
        </w:rPr>
        <w:t>Lp</w:t>
      </w:r>
      <w:proofErr w:type="spellEnd"/>
      <w:r w:rsidRPr="002A1746">
        <w:rPr>
          <w:rFonts w:ascii="Times New Roman" w:eastAsia="Times New Roman" w:hAnsi="Times New Roman" w:cs="Times New Roman"/>
          <w:sz w:val="24"/>
          <w:szCs w:val="24"/>
          <w:lang w:val="es-ES" w:eastAsia="zh-TW" w:bidi="he-IL"/>
        </w:rPr>
        <w:t xml:space="preserve"> la pobreza ha aumentado en </w:t>
      </w:r>
      <w:r w:rsidR="00A31995" w:rsidRPr="002A1746">
        <w:rPr>
          <w:rFonts w:ascii="Times New Roman" w:eastAsia="Times New Roman" w:hAnsi="Times New Roman" w:cs="Times New Roman"/>
          <w:sz w:val="24"/>
          <w:szCs w:val="24"/>
          <w:lang w:val="es-ES" w:eastAsia="zh-TW" w:bidi="he-IL"/>
        </w:rPr>
        <w:t>casi 1</w:t>
      </w:r>
      <w:r w:rsidRPr="002A1746">
        <w:rPr>
          <w:rFonts w:ascii="Times New Roman" w:eastAsia="Times New Roman" w:hAnsi="Times New Roman" w:cs="Times New Roman"/>
          <w:sz w:val="24"/>
          <w:szCs w:val="24"/>
          <w:lang w:val="es-ES" w:eastAsia="zh-TW" w:bidi="he-IL"/>
        </w:rPr>
        <w:t xml:space="preserve"> millón</w:t>
      </w:r>
      <w:r w:rsidR="00767F1C" w:rsidRPr="002A1746">
        <w:rPr>
          <w:rFonts w:ascii="Times New Roman" w:eastAsia="Times New Roman" w:hAnsi="Times New Roman" w:cs="Times New Roman"/>
          <w:sz w:val="24"/>
          <w:szCs w:val="24"/>
          <w:lang w:val="es-ES" w:eastAsia="zh-TW" w:bidi="he-IL"/>
        </w:rPr>
        <w:t xml:space="preserve">, pasando de </w:t>
      </w:r>
      <w:r w:rsidR="008741F2" w:rsidRPr="002A1746">
        <w:rPr>
          <w:rFonts w:ascii="Times New Roman" w:eastAsia="Times New Roman" w:hAnsi="Times New Roman" w:cs="Times New Roman"/>
          <w:sz w:val="24"/>
          <w:szCs w:val="24"/>
          <w:lang w:val="es-ES" w:eastAsia="zh-TW" w:bidi="he-IL"/>
        </w:rPr>
        <w:t xml:space="preserve">9.358.177 </w:t>
      </w:r>
      <w:r w:rsidR="00767F1C" w:rsidRPr="002A1746">
        <w:rPr>
          <w:rFonts w:ascii="Times New Roman" w:eastAsia="Times New Roman" w:hAnsi="Times New Roman" w:cs="Times New Roman"/>
          <w:sz w:val="24"/>
          <w:szCs w:val="24"/>
          <w:lang w:val="es-ES" w:eastAsia="zh-TW" w:bidi="he-IL"/>
        </w:rPr>
        <w:t xml:space="preserve">en 2008 a </w:t>
      </w:r>
      <w:r w:rsidR="008741F2" w:rsidRPr="002A1746">
        <w:rPr>
          <w:rFonts w:ascii="Times New Roman" w:eastAsia="Times New Roman" w:hAnsi="Times New Roman" w:cs="Times New Roman"/>
          <w:sz w:val="24"/>
          <w:szCs w:val="24"/>
          <w:lang w:val="es-ES" w:eastAsia="zh-TW" w:bidi="he-IL"/>
        </w:rPr>
        <w:t xml:space="preserve">10.293.552 </w:t>
      </w:r>
      <w:r w:rsidR="00767F1C" w:rsidRPr="002A1746">
        <w:rPr>
          <w:rFonts w:ascii="Times New Roman" w:eastAsia="Times New Roman" w:hAnsi="Times New Roman" w:cs="Times New Roman"/>
          <w:sz w:val="24"/>
          <w:szCs w:val="24"/>
          <w:lang w:val="es-ES" w:eastAsia="zh-TW" w:bidi="he-IL"/>
        </w:rPr>
        <w:t>en 2012. No obstante, y como era previsible por la tasa de pobreza antes señalada, el incremento en el número de pobres ha sido mucho mayor</w:t>
      </w:r>
      <w:r w:rsidR="00813FF2" w:rsidRPr="002A1746">
        <w:rPr>
          <w:rFonts w:ascii="Times New Roman" w:eastAsia="Times New Roman" w:hAnsi="Times New Roman" w:cs="Times New Roman"/>
          <w:sz w:val="24"/>
          <w:szCs w:val="24"/>
          <w:lang w:val="es-ES" w:eastAsia="zh-TW" w:bidi="he-IL"/>
        </w:rPr>
        <w:t xml:space="preserve"> (de más de 4 millones)</w:t>
      </w:r>
      <w:r w:rsidR="00767F1C" w:rsidRPr="002A1746">
        <w:rPr>
          <w:rFonts w:ascii="Times New Roman" w:eastAsia="Times New Roman" w:hAnsi="Times New Roman" w:cs="Times New Roman"/>
          <w:sz w:val="24"/>
          <w:szCs w:val="24"/>
          <w:lang w:val="es-ES" w:eastAsia="zh-TW" w:bidi="he-IL"/>
        </w:rPr>
        <w:t xml:space="preserve"> </w:t>
      </w:r>
      <w:r w:rsidR="006B45CA" w:rsidRPr="002A1746">
        <w:rPr>
          <w:rFonts w:ascii="Times New Roman" w:eastAsia="Times New Roman" w:hAnsi="Times New Roman" w:cs="Times New Roman"/>
          <w:sz w:val="24"/>
          <w:szCs w:val="24"/>
          <w:lang w:val="es-ES" w:eastAsia="zh-TW" w:bidi="he-IL"/>
        </w:rPr>
        <w:t>considerando</w:t>
      </w:r>
      <w:r w:rsidR="00767F1C" w:rsidRPr="002A1746">
        <w:rPr>
          <w:rFonts w:ascii="Times New Roman" w:eastAsia="Times New Roman" w:hAnsi="Times New Roman" w:cs="Times New Roman"/>
          <w:sz w:val="24"/>
          <w:szCs w:val="24"/>
          <w:lang w:val="es-ES" w:eastAsia="zh-TW" w:bidi="he-IL"/>
        </w:rPr>
        <w:t xml:space="preserve"> el ingreso en términos reales</w:t>
      </w:r>
      <w:r w:rsidR="00813FF2" w:rsidRPr="002A1746">
        <w:rPr>
          <w:rFonts w:ascii="Times New Roman" w:eastAsia="Times New Roman" w:hAnsi="Times New Roman" w:cs="Times New Roman"/>
          <w:sz w:val="24"/>
          <w:szCs w:val="24"/>
          <w:lang w:val="es-ES" w:eastAsia="zh-TW" w:bidi="he-IL"/>
        </w:rPr>
        <w:t xml:space="preserve">, </w:t>
      </w:r>
      <w:r w:rsidR="006B45CA" w:rsidRPr="002A1746">
        <w:rPr>
          <w:rFonts w:ascii="Times New Roman" w:eastAsia="Times New Roman" w:hAnsi="Times New Roman" w:cs="Times New Roman"/>
          <w:sz w:val="24"/>
          <w:szCs w:val="24"/>
          <w:lang w:val="es-ES" w:eastAsia="zh-TW" w:bidi="he-IL"/>
        </w:rPr>
        <w:t>pasando de</w:t>
      </w:r>
      <w:r w:rsidR="00813FF2" w:rsidRPr="002A1746">
        <w:rPr>
          <w:rFonts w:ascii="Times New Roman" w:eastAsia="Times New Roman" w:hAnsi="Times New Roman" w:cs="Times New Roman"/>
          <w:sz w:val="24"/>
          <w:szCs w:val="24"/>
          <w:lang w:val="es-ES" w:eastAsia="zh-TW" w:bidi="he-IL"/>
        </w:rPr>
        <w:t xml:space="preserve"> </w:t>
      </w:r>
      <w:r w:rsidR="00767F1C" w:rsidRPr="002A1746">
        <w:rPr>
          <w:rFonts w:ascii="Times New Roman" w:eastAsia="Times New Roman" w:hAnsi="Times New Roman" w:cs="Times New Roman"/>
          <w:sz w:val="24"/>
          <w:szCs w:val="24"/>
          <w:lang w:val="es-ES" w:eastAsia="zh-TW" w:bidi="he-IL"/>
        </w:rPr>
        <w:t>8.448.900</w:t>
      </w:r>
      <w:r w:rsidRPr="002A1746">
        <w:rPr>
          <w:rFonts w:ascii="Times New Roman" w:eastAsia="Times New Roman" w:hAnsi="Times New Roman" w:cs="Times New Roman"/>
          <w:sz w:val="24"/>
          <w:szCs w:val="24"/>
          <w:lang w:val="es-ES" w:eastAsia="zh-TW" w:bidi="he-IL"/>
        </w:rPr>
        <w:t xml:space="preserve"> </w:t>
      </w:r>
      <w:r w:rsidR="00813FF2" w:rsidRPr="002A1746">
        <w:rPr>
          <w:rFonts w:ascii="Times New Roman" w:eastAsia="Times New Roman" w:hAnsi="Times New Roman" w:cs="Times New Roman"/>
          <w:sz w:val="24"/>
          <w:szCs w:val="24"/>
          <w:lang w:val="es-ES" w:eastAsia="zh-TW" w:bidi="he-IL"/>
        </w:rPr>
        <w:t>a</w:t>
      </w:r>
      <w:r w:rsidRPr="002A1746">
        <w:rPr>
          <w:rFonts w:ascii="Times New Roman" w:eastAsia="Times New Roman" w:hAnsi="Times New Roman" w:cs="Times New Roman"/>
          <w:sz w:val="24"/>
          <w:szCs w:val="24"/>
          <w:lang w:val="es-ES" w:eastAsia="zh-TW" w:bidi="he-IL"/>
        </w:rPr>
        <w:t xml:space="preserve"> 12.533.808 personas</w:t>
      </w:r>
      <w:r w:rsidR="00A31995" w:rsidRPr="002A1746">
        <w:rPr>
          <w:rFonts w:ascii="Times New Roman" w:eastAsia="Times New Roman" w:hAnsi="Times New Roman" w:cs="Times New Roman"/>
          <w:sz w:val="24"/>
          <w:szCs w:val="24"/>
          <w:lang w:val="es-ES" w:eastAsia="zh-TW" w:bidi="he-IL"/>
        </w:rPr>
        <w:t xml:space="preserve"> con ingresos inferiores a Lp2.</w:t>
      </w:r>
      <w:r w:rsidR="00DF70EE">
        <w:rPr>
          <w:rFonts w:ascii="Times New Roman" w:eastAsia="Times New Roman" w:hAnsi="Times New Roman" w:cs="Times New Roman"/>
          <w:sz w:val="24"/>
          <w:szCs w:val="24"/>
          <w:lang w:val="es-ES" w:eastAsia="zh-TW" w:bidi="he-IL"/>
        </w:rPr>
        <w:t xml:space="preserve"> </w:t>
      </w:r>
      <w:r w:rsidR="007F3FAB" w:rsidRPr="002A1746">
        <w:rPr>
          <w:rFonts w:ascii="Times New Roman" w:eastAsia="Times New Roman" w:hAnsi="Times New Roman" w:cs="Times New Roman"/>
          <w:sz w:val="24"/>
          <w:szCs w:val="24"/>
          <w:lang w:val="es-ES" w:eastAsia="zh-TW" w:bidi="he-IL"/>
        </w:rPr>
        <w:t>Considerando</w:t>
      </w:r>
      <w:r w:rsidR="007034AA" w:rsidRPr="002A1746">
        <w:rPr>
          <w:rFonts w:ascii="Times New Roman" w:eastAsia="Times New Roman" w:hAnsi="Times New Roman" w:cs="Times New Roman"/>
          <w:sz w:val="24"/>
          <w:szCs w:val="24"/>
          <w:lang w:val="es-ES" w:eastAsia="zh-TW" w:bidi="he-IL"/>
        </w:rPr>
        <w:t xml:space="preserve"> las</w:t>
      </w:r>
      <w:r w:rsidR="007F3FAB" w:rsidRPr="002A1746">
        <w:rPr>
          <w:rFonts w:ascii="Times New Roman" w:eastAsia="Times New Roman" w:hAnsi="Times New Roman" w:cs="Times New Roman"/>
          <w:sz w:val="24"/>
          <w:szCs w:val="24"/>
          <w:lang w:val="es-ES" w:eastAsia="zh-TW" w:bidi="he-IL"/>
        </w:rPr>
        <w:t xml:space="preserve"> líneas de pobreza regionales (</w:t>
      </w:r>
      <w:r w:rsidR="00286E33" w:rsidRPr="002A1746">
        <w:rPr>
          <w:rFonts w:ascii="Times New Roman" w:eastAsia="Times New Roman" w:hAnsi="Times New Roman" w:cs="Times New Roman"/>
          <w:sz w:val="24"/>
          <w:szCs w:val="24"/>
          <w:lang w:val="es-ES" w:eastAsia="zh-TW" w:bidi="he-IL"/>
        </w:rPr>
        <w:t>Lp3</w:t>
      </w:r>
      <w:r w:rsidR="007F3FAB" w:rsidRPr="002A1746">
        <w:rPr>
          <w:rFonts w:ascii="Times New Roman" w:eastAsia="Times New Roman" w:hAnsi="Times New Roman" w:cs="Times New Roman"/>
          <w:sz w:val="24"/>
          <w:szCs w:val="24"/>
          <w:lang w:val="es-ES" w:eastAsia="zh-TW" w:bidi="he-IL"/>
        </w:rPr>
        <w:t>)</w:t>
      </w:r>
      <w:r w:rsidR="003002B2" w:rsidRPr="002A1746">
        <w:rPr>
          <w:rFonts w:ascii="Times New Roman" w:eastAsia="Times New Roman" w:hAnsi="Times New Roman" w:cs="Times New Roman"/>
          <w:sz w:val="24"/>
          <w:szCs w:val="24"/>
          <w:lang w:val="es-ES" w:eastAsia="zh-TW" w:bidi="he-IL"/>
        </w:rPr>
        <w:t>,</w:t>
      </w:r>
      <w:r w:rsidR="007F3FAB" w:rsidRPr="002A1746">
        <w:rPr>
          <w:rFonts w:ascii="Times New Roman" w:eastAsia="Times New Roman" w:hAnsi="Times New Roman" w:cs="Times New Roman"/>
          <w:sz w:val="24"/>
          <w:szCs w:val="24"/>
          <w:lang w:val="es-ES" w:eastAsia="zh-TW" w:bidi="he-IL"/>
        </w:rPr>
        <w:t xml:space="preserve"> </w:t>
      </w:r>
      <w:r w:rsidR="007034AA" w:rsidRPr="002A1746">
        <w:rPr>
          <w:rFonts w:ascii="Times New Roman" w:eastAsia="Times New Roman" w:hAnsi="Times New Roman" w:cs="Times New Roman"/>
          <w:sz w:val="24"/>
          <w:szCs w:val="24"/>
          <w:lang w:val="es-ES" w:eastAsia="zh-TW" w:bidi="he-IL"/>
        </w:rPr>
        <w:t xml:space="preserve">referenciadas al estándar medio de vida de </w:t>
      </w:r>
      <w:r w:rsidR="007F3FAB" w:rsidRPr="002A1746">
        <w:rPr>
          <w:rFonts w:ascii="Times New Roman" w:eastAsia="Times New Roman" w:hAnsi="Times New Roman" w:cs="Times New Roman"/>
          <w:sz w:val="24"/>
          <w:szCs w:val="24"/>
          <w:lang w:val="es-ES" w:eastAsia="zh-TW" w:bidi="he-IL"/>
        </w:rPr>
        <w:t xml:space="preserve">cada comunidad autónoma </w:t>
      </w:r>
      <w:r w:rsidR="00AE3342" w:rsidRPr="002A1746">
        <w:rPr>
          <w:rFonts w:ascii="Times New Roman" w:eastAsia="Times New Roman" w:hAnsi="Times New Roman" w:cs="Times New Roman"/>
          <w:sz w:val="24"/>
          <w:szCs w:val="24"/>
          <w:lang w:val="es-ES" w:eastAsia="zh-TW" w:bidi="he-IL"/>
        </w:rPr>
        <w:t xml:space="preserve">y no </w:t>
      </w:r>
      <w:r w:rsidR="007034AA" w:rsidRPr="002A1746">
        <w:rPr>
          <w:rFonts w:ascii="Times New Roman" w:eastAsia="Times New Roman" w:hAnsi="Times New Roman" w:cs="Times New Roman"/>
          <w:sz w:val="24"/>
          <w:szCs w:val="24"/>
          <w:lang w:val="es-ES" w:eastAsia="zh-TW" w:bidi="he-IL"/>
        </w:rPr>
        <w:t xml:space="preserve">al </w:t>
      </w:r>
      <w:r w:rsidR="007F3FAB" w:rsidRPr="002A1746">
        <w:rPr>
          <w:rFonts w:ascii="Times New Roman" w:eastAsia="Times New Roman" w:hAnsi="Times New Roman" w:cs="Times New Roman"/>
          <w:sz w:val="24"/>
          <w:szCs w:val="24"/>
          <w:lang w:val="es-ES" w:eastAsia="zh-TW" w:bidi="he-IL"/>
        </w:rPr>
        <w:t>conjunto estatal</w:t>
      </w:r>
      <w:r w:rsidR="007034AA" w:rsidRPr="002A1746">
        <w:rPr>
          <w:rFonts w:ascii="Times New Roman" w:eastAsia="Times New Roman" w:hAnsi="Times New Roman" w:cs="Times New Roman"/>
          <w:sz w:val="24"/>
          <w:szCs w:val="24"/>
          <w:lang w:val="es-ES" w:eastAsia="zh-TW" w:bidi="he-IL"/>
        </w:rPr>
        <w:t xml:space="preserve">, los </w:t>
      </w:r>
      <w:r w:rsidR="00AE3342" w:rsidRPr="002A1746">
        <w:rPr>
          <w:rFonts w:ascii="Times New Roman" w:eastAsia="Times New Roman" w:hAnsi="Times New Roman" w:cs="Times New Roman"/>
          <w:sz w:val="24"/>
          <w:szCs w:val="24"/>
          <w:lang w:val="es-ES" w:eastAsia="zh-TW" w:bidi="he-IL"/>
        </w:rPr>
        <w:t>porcentajes</w:t>
      </w:r>
      <w:r w:rsidR="007034AA" w:rsidRPr="002A1746">
        <w:rPr>
          <w:rFonts w:ascii="Times New Roman" w:eastAsia="Times New Roman" w:hAnsi="Times New Roman" w:cs="Times New Roman"/>
          <w:sz w:val="24"/>
          <w:szCs w:val="24"/>
          <w:lang w:val="es-ES" w:eastAsia="zh-TW" w:bidi="he-IL"/>
        </w:rPr>
        <w:t xml:space="preserve"> de pobreza</w:t>
      </w:r>
      <w:r w:rsidR="00D94D50" w:rsidRPr="002A1746">
        <w:rPr>
          <w:rFonts w:ascii="Times New Roman" w:hAnsi="Times New Roman" w:cs="Times New Roman"/>
          <w:sz w:val="24"/>
          <w:szCs w:val="24"/>
          <w:lang w:val="es-ES"/>
        </w:rPr>
        <w:t xml:space="preserve"> son siempre inferiores a los arrojados por las otras líneas utilizadas, converg</w:t>
      </w:r>
      <w:r w:rsidR="00AE3342" w:rsidRPr="002A1746">
        <w:rPr>
          <w:rFonts w:ascii="Times New Roman" w:hAnsi="Times New Roman" w:cs="Times New Roman"/>
          <w:sz w:val="24"/>
          <w:szCs w:val="24"/>
          <w:lang w:val="es-ES"/>
        </w:rPr>
        <w:t>iendo</w:t>
      </w:r>
      <w:r w:rsidR="00D94D50" w:rsidRPr="002A1746">
        <w:rPr>
          <w:rFonts w:ascii="Times New Roman" w:hAnsi="Times New Roman" w:cs="Times New Roman"/>
          <w:sz w:val="24"/>
          <w:szCs w:val="24"/>
          <w:lang w:val="es-ES"/>
        </w:rPr>
        <w:t xml:space="preserve"> con</w:t>
      </w:r>
      <w:r w:rsidR="00AE3342" w:rsidRPr="002A1746">
        <w:rPr>
          <w:rFonts w:ascii="Times New Roman" w:hAnsi="Times New Roman" w:cs="Times New Roman"/>
          <w:sz w:val="24"/>
          <w:szCs w:val="24"/>
          <w:lang w:val="es-ES"/>
        </w:rPr>
        <w:t xml:space="preserve"> los de</w:t>
      </w:r>
      <w:r w:rsidR="00D94D50" w:rsidRPr="002A1746">
        <w:rPr>
          <w:rFonts w:ascii="Times New Roman" w:hAnsi="Times New Roman" w:cs="Times New Roman"/>
          <w:sz w:val="24"/>
          <w:szCs w:val="24"/>
          <w:lang w:val="es-ES"/>
        </w:rPr>
        <w:t xml:space="preserve"> </w:t>
      </w:r>
      <w:proofErr w:type="spellStart"/>
      <w:r w:rsidR="00D94D50" w:rsidRPr="002A1746">
        <w:rPr>
          <w:rFonts w:ascii="Times New Roman" w:hAnsi="Times New Roman" w:cs="Times New Roman"/>
          <w:sz w:val="24"/>
          <w:szCs w:val="24"/>
          <w:lang w:val="es-ES"/>
        </w:rPr>
        <w:t>Lp</w:t>
      </w:r>
      <w:proofErr w:type="spellEnd"/>
      <w:r w:rsidR="00D94D50" w:rsidRPr="002A1746">
        <w:rPr>
          <w:rFonts w:ascii="Times New Roman" w:hAnsi="Times New Roman" w:cs="Times New Roman"/>
          <w:sz w:val="24"/>
          <w:szCs w:val="24"/>
          <w:lang w:val="es-ES"/>
        </w:rPr>
        <w:t xml:space="preserve"> en el año 2012</w:t>
      </w:r>
      <w:r w:rsidR="0039537F">
        <w:rPr>
          <w:rFonts w:ascii="Times New Roman" w:eastAsia="Times New Roman" w:hAnsi="Times New Roman" w:cs="Times New Roman"/>
          <w:sz w:val="24"/>
          <w:szCs w:val="24"/>
          <w:lang w:val="es-ES" w:eastAsia="zh-TW" w:bidi="he-IL"/>
        </w:rPr>
        <w:t>.</w:t>
      </w:r>
    </w:p>
    <w:p w:rsidR="00541244" w:rsidRPr="002A1746" w:rsidRDefault="00B04FAA" w:rsidP="00541244">
      <w:pPr>
        <w:keepNext/>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La inclusión del alquiler imputado y del autoconsumo/</w:t>
      </w:r>
      <w:proofErr w:type="spellStart"/>
      <w:r w:rsidRPr="002A1746">
        <w:rPr>
          <w:rFonts w:ascii="Times New Roman" w:hAnsi="Times New Roman" w:cs="Times New Roman"/>
          <w:sz w:val="24"/>
          <w:szCs w:val="24"/>
          <w:lang w:val="es-ES"/>
        </w:rPr>
        <w:t>autosuministro</w:t>
      </w:r>
      <w:proofErr w:type="spellEnd"/>
      <w:r w:rsidRPr="002A1746">
        <w:rPr>
          <w:rFonts w:ascii="Times New Roman" w:hAnsi="Times New Roman" w:cs="Times New Roman"/>
          <w:sz w:val="24"/>
          <w:szCs w:val="24"/>
          <w:lang w:val="es-ES"/>
        </w:rPr>
        <w:t xml:space="preserve"> hace que los porcentajes de pobreza desciendan entre 3 y 4 puntos con r</w:t>
      </w:r>
      <w:r w:rsidR="002646B3" w:rsidRPr="002A1746">
        <w:rPr>
          <w:rFonts w:ascii="Times New Roman" w:hAnsi="Times New Roman" w:cs="Times New Roman"/>
          <w:sz w:val="24"/>
          <w:szCs w:val="24"/>
          <w:lang w:val="es-ES"/>
        </w:rPr>
        <w:t>especto a</w:t>
      </w:r>
      <w:r w:rsidR="00541244" w:rsidRPr="002A1746">
        <w:rPr>
          <w:rFonts w:ascii="Times New Roman" w:hAnsi="Times New Roman" w:cs="Times New Roman"/>
          <w:sz w:val="24"/>
          <w:szCs w:val="24"/>
          <w:lang w:val="es-ES"/>
        </w:rPr>
        <w:t>l</w:t>
      </w:r>
      <w:r w:rsidR="002646B3" w:rsidRPr="002A1746">
        <w:rPr>
          <w:rFonts w:ascii="Times New Roman" w:hAnsi="Times New Roman" w:cs="Times New Roman"/>
          <w:sz w:val="24"/>
          <w:szCs w:val="24"/>
          <w:lang w:val="es-ES"/>
        </w:rPr>
        <w:t xml:space="preserve"> IDE</w:t>
      </w:r>
      <w:r w:rsidR="00541244" w:rsidRPr="002A1746">
        <w:rPr>
          <w:rFonts w:ascii="Times New Roman" w:hAnsi="Times New Roman" w:cs="Times New Roman"/>
          <w:sz w:val="24"/>
          <w:szCs w:val="24"/>
          <w:lang w:val="es-ES"/>
        </w:rPr>
        <w:t xml:space="preserve"> o al IDEP,</w:t>
      </w:r>
      <w:r w:rsidR="002646B3" w:rsidRPr="002A1746">
        <w:rPr>
          <w:rFonts w:ascii="Times New Roman" w:hAnsi="Times New Roman" w:cs="Times New Roman"/>
          <w:sz w:val="24"/>
          <w:szCs w:val="24"/>
          <w:lang w:val="es-ES"/>
        </w:rPr>
        <w:t xml:space="preserve"> </w:t>
      </w:r>
      <w:r w:rsidR="00AB64C1" w:rsidRPr="002A1746">
        <w:rPr>
          <w:rFonts w:ascii="Times New Roman" w:hAnsi="Times New Roman" w:cs="Times New Roman"/>
          <w:sz w:val="24"/>
          <w:szCs w:val="24"/>
          <w:lang w:val="es-ES"/>
        </w:rPr>
        <w:t>independi</w:t>
      </w:r>
      <w:r w:rsidR="002646B3" w:rsidRPr="002A1746">
        <w:rPr>
          <w:rFonts w:ascii="Times New Roman" w:hAnsi="Times New Roman" w:cs="Times New Roman"/>
          <w:sz w:val="24"/>
          <w:szCs w:val="24"/>
          <w:lang w:val="es-ES"/>
        </w:rPr>
        <w:t>entemente de la línea utilizada</w:t>
      </w:r>
      <w:r w:rsidRPr="002A1746">
        <w:rPr>
          <w:rFonts w:ascii="Times New Roman" w:hAnsi="Times New Roman" w:cs="Times New Roman"/>
          <w:sz w:val="24"/>
          <w:szCs w:val="24"/>
          <w:lang w:val="es-ES"/>
        </w:rPr>
        <w:t xml:space="preserve"> y para cualquiera de los años del período.</w:t>
      </w:r>
      <w:r w:rsidR="00541244" w:rsidRPr="002A1746">
        <w:rPr>
          <w:rFonts w:ascii="Times New Roman" w:hAnsi="Times New Roman" w:cs="Times New Roman"/>
          <w:sz w:val="24"/>
          <w:szCs w:val="24"/>
          <w:lang w:val="es-ES"/>
        </w:rPr>
        <w:t xml:space="preserve"> La evolución de la tasa de riesgo de pobreza a través de las variables con y sin alquiler imputado </w:t>
      </w:r>
      <w:r w:rsidR="003E3871">
        <w:rPr>
          <w:rFonts w:ascii="Times New Roman" w:hAnsi="Times New Roman" w:cs="Times New Roman"/>
          <w:sz w:val="24"/>
          <w:szCs w:val="24"/>
          <w:lang w:val="es-ES"/>
        </w:rPr>
        <w:t>e</w:t>
      </w:r>
      <w:r w:rsidR="00541244" w:rsidRPr="002A1746">
        <w:rPr>
          <w:rFonts w:ascii="Times New Roman" w:hAnsi="Times New Roman" w:cs="Times New Roman"/>
          <w:sz w:val="24"/>
          <w:szCs w:val="24"/>
          <w:lang w:val="es-ES"/>
        </w:rPr>
        <w:t>s</w:t>
      </w:r>
      <w:r w:rsidR="003E3871">
        <w:rPr>
          <w:rFonts w:ascii="Times New Roman" w:hAnsi="Times New Roman" w:cs="Times New Roman"/>
          <w:sz w:val="24"/>
          <w:szCs w:val="24"/>
          <w:lang w:val="es-ES"/>
        </w:rPr>
        <w:t xml:space="preserve"> paralela</w:t>
      </w:r>
      <w:r w:rsidR="00541244" w:rsidRPr="002A1746">
        <w:rPr>
          <w:rFonts w:ascii="Times New Roman" w:hAnsi="Times New Roman" w:cs="Times New Roman"/>
          <w:sz w:val="24"/>
          <w:szCs w:val="24"/>
          <w:lang w:val="es-ES"/>
        </w:rPr>
        <w:t xml:space="preserve"> y, como era</w:t>
      </w:r>
      <w:r w:rsidR="000C6F8C" w:rsidRPr="002A1746">
        <w:rPr>
          <w:rFonts w:ascii="Times New Roman" w:hAnsi="Times New Roman" w:cs="Times New Roman"/>
          <w:sz w:val="24"/>
          <w:szCs w:val="24"/>
          <w:lang w:val="es-ES"/>
        </w:rPr>
        <w:t xml:space="preserve"> de esperar</w:t>
      </w:r>
      <w:r w:rsidR="00541244" w:rsidRPr="002A1746">
        <w:rPr>
          <w:rFonts w:ascii="Times New Roman" w:hAnsi="Times New Roman" w:cs="Times New Roman"/>
          <w:sz w:val="24"/>
          <w:szCs w:val="24"/>
          <w:lang w:val="es-ES"/>
        </w:rPr>
        <w:t>, la tenencia de vivienda en propiedad suaviza en parte la pobreza económica.</w:t>
      </w:r>
    </w:p>
    <w:p w:rsidR="00B04FAA" w:rsidRPr="002A1746" w:rsidRDefault="00B04FAA" w:rsidP="00AD37B1">
      <w:pPr>
        <w:keepNext/>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 xml:space="preserve"> </w:t>
      </w:r>
      <w:r w:rsidR="00286E33" w:rsidRPr="002A1746">
        <w:rPr>
          <w:rFonts w:ascii="Times New Roman" w:hAnsi="Times New Roman" w:cs="Times New Roman"/>
          <w:sz w:val="24"/>
          <w:szCs w:val="24"/>
          <w:lang w:val="es-ES"/>
        </w:rPr>
        <w:t>El</w:t>
      </w:r>
      <w:r w:rsidR="00C96C57" w:rsidRPr="002A1746">
        <w:rPr>
          <w:rFonts w:ascii="Times New Roman" w:hAnsi="Times New Roman" w:cs="Times New Roman"/>
          <w:sz w:val="24"/>
          <w:szCs w:val="24"/>
          <w:lang w:val="es-ES"/>
        </w:rPr>
        <w:t xml:space="preserve"> peso del</w:t>
      </w:r>
      <w:r w:rsidR="00286E33" w:rsidRPr="002A1746">
        <w:rPr>
          <w:rFonts w:ascii="Times New Roman" w:hAnsi="Times New Roman" w:cs="Times New Roman"/>
          <w:sz w:val="24"/>
          <w:szCs w:val="24"/>
          <w:lang w:val="es-ES"/>
        </w:rPr>
        <w:t xml:space="preserve"> autoconsumo/</w:t>
      </w:r>
      <w:proofErr w:type="spellStart"/>
      <w:r w:rsidR="00286E33" w:rsidRPr="002A1746">
        <w:rPr>
          <w:rFonts w:ascii="Times New Roman" w:hAnsi="Times New Roman" w:cs="Times New Roman"/>
          <w:sz w:val="24"/>
          <w:szCs w:val="24"/>
          <w:lang w:val="es-ES"/>
        </w:rPr>
        <w:t>autosuministro</w:t>
      </w:r>
      <w:proofErr w:type="spellEnd"/>
      <w:r w:rsidR="006B45CA" w:rsidRPr="002A1746">
        <w:rPr>
          <w:rFonts w:ascii="Times New Roman" w:hAnsi="Times New Roman" w:cs="Times New Roman"/>
          <w:sz w:val="24"/>
          <w:szCs w:val="24"/>
          <w:lang w:val="es-ES"/>
        </w:rPr>
        <w:t xml:space="preserve"> en el conjunto estatal</w:t>
      </w:r>
      <w:r w:rsidR="00286E33" w:rsidRPr="002A1746">
        <w:rPr>
          <w:rFonts w:ascii="Times New Roman" w:hAnsi="Times New Roman" w:cs="Times New Roman"/>
          <w:sz w:val="24"/>
          <w:szCs w:val="24"/>
          <w:lang w:val="es-ES"/>
        </w:rPr>
        <w:t>, aunque con diferencias regional</w:t>
      </w:r>
      <w:r w:rsidR="00AB64C1" w:rsidRPr="002A1746">
        <w:rPr>
          <w:rFonts w:ascii="Times New Roman" w:hAnsi="Times New Roman" w:cs="Times New Roman"/>
          <w:sz w:val="24"/>
          <w:szCs w:val="24"/>
          <w:lang w:val="es-ES"/>
        </w:rPr>
        <w:t>es, nunca llega a suponer el 1% del montante del alquiler imputado, por lo que los comentarios y conclusiones generales se harán en términos de alquiler imputado (obviando el autoconsumo/</w:t>
      </w:r>
      <w:proofErr w:type="spellStart"/>
      <w:r w:rsidR="00AB64C1" w:rsidRPr="002A1746">
        <w:rPr>
          <w:rFonts w:ascii="Times New Roman" w:hAnsi="Times New Roman" w:cs="Times New Roman"/>
          <w:sz w:val="24"/>
          <w:szCs w:val="24"/>
          <w:lang w:val="es-ES"/>
        </w:rPr>
        <w:t>autosuministro</w:t>
      </w:r>
      <w:proofErr w:type="spellEnd"/>
      <w:r w:rsidR="00AB7686" w:rsidRPr="002A1746">
        <w:rPr>
          <w:rFonts w:ascii="Times New Roman" w:hAnsi="Times New Roman" w:cs="Times New Roman"/>
          <w:sz w:val="24"/>
          <w:szCs w:val="24"/>
          <w:lang w:val="es-ES"/>
        </w:rPr>
        <w:t xml:space="preserve"> por su escasa relevancia</w:t>
      </w:r>
      <w:r w:rsidR="008E6686" w:rsidRPr="002A1746">
        <w:rPr>
          <w:rFonts w:ascii="Times New Roman" w:hAnsi="Times New Roman" w:cs="Times New Roman"/>
          <w:sz w:val="24"/>
          <w:szCs w:val="24"/>
          <w:lang w:val="es-ES"/>
        </w:rPr>
        <w:t>, en torno a los mil millones de euros</w:t>
      </w:r>
      <w:r w:rsidR="00C96C57" w:rsidRPr="002A1746">
        <w:rPr>
          <w:rFonts w:ascii="Times New Roman" w:hAnsi="Times New Roman" w:cs="Times New Roman"/>
          <w:sz w:val="24"/>
          <w:szCs w:val="24"/>
          <w:lang w:val="es-ES"/>
        </w:rPr>
        <w:t xml:space="preserve">). </w:t>
      </w:r>
      <w:r w:rsidR="00044A13" w:rsidRPr="002A1746">
        <w:rPr>
          <w:rFonts w:ascii="Times New Roman" w:hAnsi="Times New Roman" w:cs="Times New Roman"/>
          <w:sz w:val="24"/>
          <w:szCs w:val="24"/>
          <w:lang w:val="es-ES"/>
        </w:rPr>
        <w:t>A nivel regional</w:t>
      </w:r>
      <w:r w:rsidR="002646B3" w:rsidRPr="002A1746">
        <w:rPr>
          <w:rFonts w:ascii="Times New Roman" w:hAnsi="Times New Roman" w:cs="Times New Roman"/>
          <w:sz w:val="24"/>
          <w:szCs w:val="24"/>
          <w:lang w:val="es-ES"/>
        </w:rPr>
        <w:t>,</w:t>
      </w:r>
      <w:r w:rsidR="00044A13" w:rsidRPr="002A1746">
        <w:rPr>
          <w:rFonts w:ascii="Times New Roman" w:hAnsi="Times New Roman" w:cs="Times New Roman"/>
          <w:sz w:val="24"/>
          <w:szCs w:val="24"/>
          <w:lang w:val="es-ES"/>
        </w:rPr>
        <w:t xml:space="preserve"> es Galicia la que presenta unos datos más </w:t>
      </w:r>
      <w:r w:rsidR="00044A13" w:rsidRPr="002A1746">
        <w:rPr>
          <w:rFonts w:ascii="Times New Roman" w:hAnsi="Times New Roman" w:cs="Times New Roman"/>
          <w:sz w:val="24"/>
          <w:szCs w:val="24"/>
          <w:lang w:val="es-ES"/>
        </w:rPr>
        <w:lastRenderedPageBreak/>
        <w:t>destacables, ya que aglutina más del 30% del autoconsumo/</w:t>
      </w:r>
      <w:proofErr w:type="spellStart"/>
      <w:r w:rsidR="00044A13" w:rsidRPr="002A1746">
        <w:rPr>
          <w:rFonts w:ascii="Times New Roman" w:hAnsi="Times New Roman" w:cs="Times New Roman"/>
          <w:sz w:val="24"/>
          <w:szCs w:val="24"/>
          <w:lang w:val="es-ES"/>
        </w:rPr>
        <w:t>autosuministro</w:t>
      </w:r>
      <w:proofErr w:type="spellEnd"/>
      <w:r w:rsidR="00044A13" w:rsidRPr="002A1746">
        <w:rPr>
          <w:rFonts w:ascii="Times New Roman" w:hAnsi="Times New Roman" w:cs="Times New Roman"/>
          <w:sz w:val="24"/>
          <w:szCs w:val="24"/>
          <w:lang w:val="es-ES"/>
        </w:rPr>
        <w:t xml:space="preserve"> estatal con una media de 120€ equivalentes </w:t>
      </w:r>
      <w:r w:rsidR="00C96C57" w:rsidRPr="002A1746">
        <w:rPr>
          <w:rFonts w:ascii="Times New Roman" w:hAnsi="Times New Roman" w:cs="Times New Roman"/>
          <w:sz w:val="24"/>
          <w:szCs w:val="24"/>
          <w:lang w:val="es-ES"/>
        </w:rPr>
        <w:t xml:space="preserve">anuales </w:t>
      </w:r>
      <w:r w:rsidR="00044A13" w:rsidRPr="002A1746">
        <w:rPr>
          <w:rFonts w:ascii="Times New Roman" w:hAnsi="Times New Roman" w:cs="Times New Roman"/>
          <w:sz w:val="24"/>
          <w:szCs w:val="24"/>
          <w:lang w:val="es-ES"/>
        </w:rPr>
        <w:t xml:space="preserve">por persona. </w:t>
      </w:r>
      <w:r w:rsidR="00AB64C1" w:rsidRPr="002A1746">
        <w:rPr>
          <w:rFonts w:ascii="Times New Roman" w:hAnsi="Times New Roman" w:cs="Times New Roman"/>
          <w:sz w:val="24"/>
          <w:szCs w:val="24"/>
          <w:lang w:val="es-ES"/>
        </w:rPr>
        <w:t xml:space="preserve"> </w:t>
      </w:r>
      <w:r w:rsidR="003A082C" w:rsidRPr="002A1746">
        <w:rPr>
          <w:rFonts w:ascii="Times New Roman" w:hAnsi="Times New Roman" w:cs="Times New Roman"/>
          <w:sz w:val="24"/>
          <w:szCs w:val="24"/>
          <w:lang w:val="es-ES"/>
        </w:rPr>
        <w:t>Resaltable es, también, que e</w:t>
      </w:r>
      <w:r w:rsidR="008E6686" w:rsidRPr="002A1746">
        <w:rPr>
          <w:rFonts w:ascii="Times New Roman" w:hAnsi="Times New Roman" w:cs="Times New Roman"/>
          <w:sz w:val="24"/>
          <w:szCs w:val="24"/>
          <w:lang w:val="es-ES"/>
        </w:rPr>
        <w:t>l montante del alquiler imputado ha sufrido un descenso paulatino a partir del año 2010 (de 129 mil millones de euros a 119 mil millones en 2012) situándose en niveles inferiores a 2008, lo que puede estar mostrando en parte el efecto de las ejecuciones hipotecarias</w:t>
      </w:r>
      <w:r w:rsidR="00A73362" w:rsidRPr="002A1746">
        <w:rPr>
          <w:rFonts w:ascii="Times New Roman" w:hAnsi="Times New Roman" w:cs="Times New Roman"/>
          <w:sz w:val="24"/>
          <w:szCs w:val="24"/>
          <w:lang w:val="es-ES"/>
        </w:rPr>
        <w:t xml:space="preserve"> y</w:t>
      </w:r>
      <w:r w:rsidR="00A8030E" w:rsidRPr="002A1746">
        <w:rPr>
          <w:rFonts w:ascii="Times New Roman" w:hAnsi="Times New Roman" w:cs="Times New Roman"/>
          <w:sz w:val="24"/>
          <w:szCs w:val="24"/>
          <w:lang w:val="es-ES"/>
        </w:rPr>
        <w:t xml:space="preserve"> su</w:t>
      </w:r>
      <w:r w:rsidR="00C96C57" w:rsidRPr="002A1746">
        <w:rPr>
          <w:rFonts w:ascii="Times New Roman" w:hAnsi="Times New Roman" w:cs="Times New Roman"/>
          <w:sz w:val="24"/>
          <w:szCs w:val="24"/>
          <w:lang w:val="es-ES"/>
        </w:rPr>
        <w:t xml:space="preserve"> desenlace</w:t>
      </w:r>
      <w:r w:rsidR="00A8030E" w:rsidRPr="002A1746">
        <w:rPr>
          <w:rFonts w:ascii="Times New Roman" w:hAnsi="Times New Roman" w:cs="Times New Roman"/>
          <w:sz w:val="24"/>
          <w:szCs w:val="24"/>
          <w:lang w:val="es-ES"/>
        </w:rPr>
        <w:t xml:space="preserve"> final, el lanzamiento/desahucio.</w:t>
      </w:r>
      <w:r w:rsidR="003E3871">
        <w:rPr>
          <w:rFonts w:ascii="Times New Roman" w:hAnsi="Times New Roman" w:cs="Times New Roman"/>
          <w:sz w:val="24"/>
          <w:szCs w:val="24"/>
          <w:lang w:val="es-ES"/>
        </w:rPr>
        <w:t xml:space="preserve"> </w:t>
      </w:r>
      <w:r w:rsidR="002646B3" w:rsidRPr="002A1746">
        <w:rPr>
          <w:rFonts w:ascii="Times New Roman" w:hAnsi="Times New Roman" w:cs="Times New Roman"/>
          <w:sz w:val="24"/>
          <w:szCs w:val="24"/>
          <w:lang w:val="es-ES"/>
        </w:rPr>
        <w:t>La ECV revela</w:t>
      </w:r>
      <w:r w:rsidR="00AD190D" w:rsidRPr="002A1746">
        <w:rPr>
          <w:rFonts w:ascii="Times New Roman" w:hAnsi="Times New Roman" w:cs="Times New Roman"/>
          <w:sz w:val="24"/>
          <w:szCs w:val="24"/>
          <w:lang w:val="es-ES"/>
        </w:rPr>
        <w:t xml:space="preserve"> un incremento del porcentaje d</w:t>
      </w:r>
      <w:r w:rsidR="002646B3" w:rsidRPr="002A1746">
        <w:rPr>
          <w:rFonts w:ascii="Times New Roman" w:hAnsi="Times New Roman" w:cs="Times New Roman"/>
          <w:sz w:val="24"/>
          <w:szCs w:val="24"/>
          <w:lang w:val="es-ES"/>
        </w:rPr>
        <w:t xml:space="preserve">e personas que vive de alquiler, </w:t>
      </w:r>
      <w:r w:rsidR="00AD190D" w:rsidRPr="002A1746">
        <w:rPr>
          <w:rFonts w:ascii="Times New Roman" w:hAnsi="Times New Roman" w:cs="Times New Roman"/>
          <w:sz w:val="24"/>
          <w:szCs w:val="24"/>
          <w:lang w:val="es-ES"/>
        </w:rPr>
        <w:t xml:space="preserve">con la excepción de cinco regiones </w:t>
      </w:r>
      <w:r w:rsidR="003A082C" w:rsidRPr="002A1746">
        <w:rPr>
          <w:rFonts w:ascii="Times New Roman" w:hAnsi="Times New Roman" w:cs="Times New Roman"/>
          <w:sz w:val="24"/>
          <w:szCs w:val="24"/>
          <w:lang w:val="es-ES"/>
        </w:rPr>
        <w:t xml:space="preserve">entre las cuales </w:t>
      </w:r>
      <w:r w:rsidR="00AD190D" w:rsidRPr="002A1746">
        <w:rPr>
          <w:rFonts w:ascii="Times New Roman" w:hAnsi="Times New Roman" w:cs="Times New Roman"/>
          <w:sz w:val="24"/>
          <w:szCs w:val="24"/>
          <w:lang w:val="es-ES"/>
        </w:rPr>
        <w:t xml:space="preserve">solo </w:t>
      </w:r>
      <w:r w:rsidR="00541244" w:rsidRPr="002A1746">
        <w:rPr>
          <w:rFonts w:ascii="Times New Roman" w:hAnsi="Times New Roman" w:cs="Times New Roman"/>
          <w:sz w:val="24"/>
          <w:szCs w:val="24"/>
          <w:lang w:val="es-ES"/>
        </w:rPr>
        <w:t>Canarias y Asturias bajan más de</w:t>
      </w:r>
      <w:r w:rsidR="00AD190D" w:rsidRPr="002A1746">
        <w:rPr>
          <w:rFonts w:ascii="Times New Roman" w:hAnsi="Times New Roman" w:cs="Times New Roman"/>
          <w:sz w:val="24"/>
          <w:szCs w:val="24"/>
          <w:lang w:val="es-ES"/>
        </w:rPr>
        <w:t xml:space="preserve"> 2 puntos porcentuales</w:t>
      </w:r>
      <w:r w:rsidR="002646B3" w:rsidRPr="002A1746">
        <w:rPr>
          <w:rFonts w:ascii="Times New Roman" w:hAnsi="Times New Roman" w:cs="Times New Roman"/>
          <w:sz w:val="24"/>
          <w:szCs w:val="24"/>
          <w:lang w:val="es-ES"/>
        </w:rPr>
        <w:t>. S</w:t>
      </w:r>
      <w:r w:rsidR="00AD190D" w:rsidRPr="002A1746">
        <w:rPr>
          <w:rFonts w:ascii="Times New Roman" w:hAnsi="Times New Roman" w:cs="Times New Roman"/>
          <w:sz w:val="24"/>
          <w:szCs w:val="24"/>
          <w:lang w:val="es-ES"/>
        </w:rPr>
        <w:t xml:space="preserve">i solo se tienen en cuenta a las personas pobres, los porcentajes de régimen de tenencia en alquiler son más elevados y en el caso de </w:t>
      </w:r>
      <w:r w:rsidR="002646B3" w:rsidRPr="002A1746">
        <w:rPr>
          <w:rFonts w:ascii="Times New Roman" w:hAnsi="Times New Roman" w:cs="Times New Roman"/>
          <w:sz w:val="24"/>
          <w:szCs w:val="24"/>
          <w:lang w:val="es-ES"/>
        </w:rPr>
        <w:t xml:space="preserve">Asturias duplican al </w:t>
      </w:r>
      <w:r w:rsidR="00541244" w:rsidRPr="002A1746">
        <w:rPr>
          <w:rFonts w:ascii="Times New Roman" w:hAnsi="Times New Roman" w:cs="Times New Roman"/>
          <w:sz w:val="24"/>
          <w:szCs w:val="24"/>
          <w:lang w:val="es-ES"/>
        </w:rPr>
        <w:t xml:space="preserve">del </w:t>
      </w:r>
      <w:r w:rsidR="002646B3" w:rsidRPr="002A1746">
        <w:rPr>
          <w:rFonts w:ascii="Times New Roman" w:hAnsi="Times New Roman" w:cs="Times New Roman"/>
          <w:sz w:val="24"/>
          <w:szCs w:val="24"/>
          <w:lang w:val="es-ES"/>
        </w:rPr>
        <w:t>total de la población</w:t>
      </w:r>
      <w:r w:rsidR="008E6686" w:rsidRPr="002A1746">
        <w:rPr>
          <w:rFonts w:ascii="Times New Roman" w:hAnsi="Times New Roman" w:cs="Times New Roman"/>
          <w:sz w:val="24"/>
          <w:szCs w:val="24"/>
          <w:lang w:val="es-ES"/>
        </w:rPr>
        <w:t xml:space="preserve">. </w:t>
      </w:r>
    </w:p>
    <w:p w:rsidR="00044A13" w:rsidRPr="002A1746" w:rsidRDefault="009C342C" w:rsidP="00AD37B1">
      <w:pPr>
        <w:autoSpaceDE w:val="0"/>
        <w:autoSpaceDN w:val="0"/>
        <w:adjustRightInd w:val="0"/>
        <w:spacing w:before="120" w:after="120" w:line="360" w:lineRule="auto"/>
        <w:rPr>
          <w:rFonts w:ascii="Times New Roman" w:hAnsi="Times New Roman" w:cs="Times New Roman"/>
          <w:b/>
          <w:sz w:val="24"/>
          <w:szCs w:val="24"/>
          <w:lang w:val="es-ES"/>
        </w:rPr>
      </w:pPr>
      <w:r w:rsidRPr="002A1746">
        <w:rPr>
          <w:rFonts w:ascii="Times New Roman" w:hAnsi="Times New Roman" w:cs="Times New Roman"/>
          <w:b/>
          <w:sz w:val="24"/>
          <w:szCs w:val="24"/>
          <w:lang w:val="es-ES"/>
        </w:rPr>
        <w:t>Análisis de l</w:t>
      </w:r>
      <w:r w:rsidR="000C20B1" w:rsidRPr="002A1746">
        <w:rPr>
          <w:rFonts w:ascii="Times New Roman" w:hAnsi="Times New Roman" w:cs="Times New Roman"/>
          <w:b/>
          <w:sz w:val="24"/>
          <w:szCs w:val="24"/>
          <w:lang w:val="es-ES"/>
        </w:rPr>
        <w:t xml:space="preserve">a </w:t>
      </w:r>
      <w:r w:rsidR="00426D06" w:rsidRPr="002A1746">
        <w:rPr>
          <w:rFonts w:ascii="Times New Roman" w:hAnsi="Times New Roman" w:cs="Times New Roman"/>
          <w:b/>
          <w:sz w:val="24"/>
          <w:szCs w:val="24"/>
          <w:lang w:val="es-ES"/>
        </w:rPr>
        <w:t>pobreza por regiones.</w:t>
      </w:r>
      <w:r w:rsidR="00821818" w:rsidRPr="002A1746">
        <w:rPr>
          <w:rFonts w:ascii="Times New Roman" w:hAnsi="Times New Roman" w:cs="Times New Roman"/>
          <w:b/>
          <w:sz w:val="24"/>
          <w:szCs w:val="24"/>
          <w:lang w:val="es-ES"/>
        </w:rPr>
        <w:t xml:space="preserve"> Líneas</w:t>
      </w:r>
      <w:r w:rsidR="00DA1D35" w:rsidRPr="002A1746">
        <w:rPr>
          <w:rFonts w:ascii="Times New Roman" w:hAnsi="Times New Roman" w:cs="Times New Roman"/>
          <w:b/>
          <w:sz w:val="24"/>
          <w:szCs w:val="24"/>
          <w:lang w:val="es-ES"/>
        </w:rPr>
        <w:t xml:space="preserve"> estatales</w:t>
      </w:r>
      <w:r w:rsidR="00821818" w:rsidRPr="002A1746">
        <w:rPr>
          <w:rFonts w:ascii="Times New Roman" w:hAnsi="Times New Roman" w:cs="Times New Roman"/>
          <w:b/>
          <w:sz w:val="24"/>
          <w:szCs w:val="24"/>
          <w:lang w:val="es-ES"/>
        </w:rPr>
        <w:t>.</w:t>
      </w:r>
    </w:p>
    <w:p w:rsidR="00AD37B1" w:rsidRPr="002A1746" w:rsidRDefault="00426D06" w:rsidP="00AD37B1">
      <w:pPr>
        <w:autoSpaceDE w:val="0"/>
        <w:autoSpaceDN w:val="0"/>
        <w:adjustRightInd w:val="0"/>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 xml:space="preserve">A nivel regional y con los diferentes </w:t>
      </w:r>
      <w:r w:rsidR="00AB7686" w:rsidRPr="002A1746">
        <w:rPr>
          <w:rFonts w:ascii="Times New Roman" w:hAnsi="Times New Roman" w:cs="Times New Roman"/>
          <w:sz w:val="24"/>
          <w:szCs w:val="24"/>
          <w:lang w:val="es-ES"/>
        </w:rPr>
        <w:t>umbrales</w:t>
      </w:r>
      <w:r w:rsidRPr="002A1746">
        <w:rPr>
          <w:rFonts w:ascii="Times New Roman" w:hAnsi="Times New Roman" w:cs="Times New Roman"/>
          <w:sz w:val="24"/>
          <w:szCs w:val="24"/>
          <w:lang w:val="es-ES"/>
        </w:rPr>
        <w:t xml:space="preserve"> utilizados</w:t>
      </w:r>
      <w:r w:rsidR="00AB7686" w:rsidRPr="002A1746">
        <w:rPr>
          <w:rFonts w:ascii="Times New Roman" w:hAnsi="Times New Roman" w:cs="Times New Roman"/>
          <w:sz w:val="24"/>
          <w:szCs w:val="24"/>
          <w:lang w:val="es-ES"/>
        </w:rPr>
        <w:t>,</w:t>
      </w:r>
      <w:r w:rsidRPr="002A1746">
        <w:rPr>
          <w:rFonts w:ascii="Times New Roman" w:hAnsi="Times New Roman" w:cs="Times New Roman"/>
          <w:sz w:val="24"/>
          <w:szCs w:val="24"/>
          <w:lang w:val="es-ES"/>
        </w:rPr>
        <w:t xml:space="preserve"> lo que se pone de manifiesto es la estabilidad en cuanto a las tasas de pobreza de las regiones que se encuentran en</w:t>
      </w:r>
      <w:r w:rsidR="00F82A9E">
        <w:rPr>
          <w:rFonts w:ascii="Times New Roman" w:hAnsi="Times New Roman" w:cs="Times New Roman"/>
          <w:sz w:val="24"/>
          <w:szCs w:val="24"/>
          <w:lang w:val="es-ES"/>
        </w:rPr>
        <w:t xml:space="preserve"> los extremos. Navarra y País Vasco</w:t>
      </w:r>
      <w:r w:rsidR="00AB7686" w:rsidRPr="002A1746">
        <w:rPr>
          <w:rFonts w:ascii="Times New Roman" w:hAnsi="Times New Roman" w:cs="Times New Roman"/>
          <w:sz w:val="24"/>
          <w:szCs w:val="24"/>
          <w:lang w:val="es-ES"/>
        </w:rPr>
        <w:t xml:space="preserve"> (Asturias y Cantabria en muchas ocasiones también)</w:t>
      </w:r>
      <w:r w:rsidRPr="002A1746">
        <w:rPr>
          <w:rFonts w:ascii="Times New Roman" w:hAnsi="Times New Roman" w:cs="Times New Roman"/>
          <w:sz w:val="24"/>
          <w:szCs w:val="24"/>
          <w:lang w:val="es-ES"/>
        </w:rPr>
        <w:t xml:space="preserve"> suelen </w:t>
      </w:r>
      <w:r w:rsidR="00BE0C20" w:rsidRPr="002A1746">
        <w:rPr>
          <w:rFonts w:ascii="Times New Roman" w:hAnsi="Times New Roman" w:cs="Times New Roman"/>
          <w:sz w:val="24"/>
          <w:szCs w:val="24"/>
          <w:lang w:val="es-ES"/>
        </w:rPr>
        <w:t>presentar</w:t>
      </w:r>
      <w:r w:rsidRPr="002A1746">
        <w:rPr>
          <w:rFonts w:ascii="Times New Roman" w:hAnsi="Times New Roman" w:cs="Times New Roman"/>
          <w:sz w:val="24"/>
          <w:szCs w:val="24"/>
          <w:lang w:val="es-ES"/>
        </w:rPr>
        <w:t xml:space="preserve"> las cifras más bajas de pobreza para cualquier año y bajo cualquier supuesto de línea de pobreza. Por el otro lado, Extremadura, Andalucía, Castilla-La Mancha, Canarias y Murcia son las que suelen ocupar las peores posiciones en cuanto a pobreza, </w:t>
      </w:r>
      <w:r w:rsidR="00BE0C20" w:rsidRPr="002A1746">
        <w:rPr>
          <w:rFonts w:ascii="Times New Roman" w:hAnsi="Times New Roman" w:cs="Times New Roman"/>
          <w:sz w:val="24"/>
          <w:szCs w:val="24"/>
          <w:lang w:val="es-ES"/>
        </w:rPr>
        <w:t xml:space="preserve">excepto cuando se manejan líneas </w:t>
      </w:r>
      <w:r w:rsidRPr="002A1746">
        <w:rPr>
          <w:rFonts w:ascii="Times New Roman" w:hAnsi="Times New Roman" w:cs="Times New Roman"/>
          <w:sz w:val="24"/>
          <w:szCs w:val="24"/>
          <w:lang w:val="es-ES"/>
        </w:rPr>
        <w:t>regionales</w:t>
      </w:r>
      <w:r w:rsidR="0010405D" w:rsidRPr="002A1746">
        <w:rPr>
          <w:rFonts w:ascii="Times New Roman" w:hAnsi="Times New Roman" w:cs="Times New Roman"/>
          <w:sz w:val="24"/>
          <w:szCs w:val="24"/>
          <w:lang w:val="es-ES"/>
        </w:rPr>
        <w:t xml:space="preserve"> (Lp3)</w:t>
      </w:r>
      <w:r w:rsidR="00992F2C" w:rsidRPr="002A1746">
        <w:rPr>
          <w:rFonts w:ascii="Times New Roman" w:hAnsi="Times New Roman" w:cs="Times New Roman"/>
          <w:sz w:val="24"/>
          <w:szCs w:val="24"/>
          <w:lang w:val="es-ES"/>
        </w:rPr>
        <w:t xml:space="preserve">, cuyo análisis se presenta </w:t>
      </w:r>
      <w:r w:rsidRPr="002A1746">
        <w:rPr>
          <w:rFonts w:ascii="Times New Roman" w:hAnsi="Times New Roman" w:cs="Times New Roman"/>
          <w:sz w:val="24"/>
          <w:szCs w:val="24"/>
          <w:lang w:val="es-ES"/>
        </w:rPr>
        <w:t xml:space="preserve"> </w:t>
      </w:r>
      <w:r w:rsidR="0010405D" w:rsidRPr="002A1746">
        <w:rPr>
          <w:rFonts w:ascii="Times New Roman" w:hAnsi="Times New Roman" w:cs="Times New Roman"/>
          <w:sz w:val="24"/>
          <w:szCs w:val="24"/>
          <w:lang w:val="es-ES"/>
        </w:rPr>
        <w:t>más adelante.</w:t>
      </w:r>
    </w:p>
    <w:p w:rsidR="007051A4" w:rsidRPr="002A1746" w:rsidRDefault="00715D9B" w:rsidP="00EA7D31">
      <w:pPr>
        <w:autoSpaceDE w:val="0"/>
        <w:autoSpaceDN w:val="0"/>
        <w:adjustRightInd w:val="0"/>
        <w:spacing w:before="120" w:after="120" w:line="360" w:lineRule="auto"/>
        <w:rPr>
          <w:rFonts w:ascii="Times New Roman" w:hAnsi="Times New Roman" w:cs="Times New Roman"/>
          <w:sz w:val="24"/>
          <w:szCs w:val="24"/>
          <w:lang w:val="es-ES"/>
        </w:rPr>
      </w:pPr>
      <w:r w:rsidRPr="002A1746">
        <w:rPr>
          <w:rFonts w:ascii="Times New Roman" w:hAnsi="Times New Roman" w:cs="Times New Roman"/>
          <w:sz w:val="24"/>
          <w:szCs w:val="24"/>
          <w:lang w:val="es-ES"/>
        </w:rPr>
        <w:t>Gráfico 2: Tasa de Riesgo de Pobreza (%)</w:t>
      </w:r>
      <w:r w:rsidR="00EA7D31">
        <w:rPr>
          <w:rFonts w:ascii="Times New Roman" w:hAnsi="Times New Roman" w:cs="Times New Roman"/>
          <w:sz w:val="24"/>
          <w:szCs w:val="24"/>
          <w:lang w:val="es-ES"/>
        </w:rPr>
        <w:t>. Variables IDE e IDEP</w:t>
      </w:r>
      <w:r w:rsidRPr="002A1746">
        <w:rPr>
          <w:rFonts w:ascii="Times New Roman" w:hAnsi="Times New Roman" w:cs="Times New Roman"/>
          <w:sz w:val="24"/>
          <w:szCs w:val="24"/>
          <w:lang w:val="es-ES"/>
        </w:rPr>
        <w:t xml:space="preserve">. </w:t>
      </w:r>
      <w:r w:rsidR="00F82A9E" w:rsidRPr="002A1746">
        <w:rPr>
          <w:rFonts w:ascii="Times New Roman" w:hAnsi="Times New Roman" w:cs="Times New Roman"/>
          <w:sz w:val="24"/>
          <w:szCs w:val="24"/>
          <w:lang w:val="es-ES"/>
        </w:rPr>
        <w:t>Líneas</w:t>
      </w:r>
      <w:r w:rsidRPr="002A1746">
        <w:rPr>
          <w:rFonts w:ascii="Times New Roman" w:hAnsi="Times New Roman" w:cs="Times New Roman"/>
          <w:sz w:val="24"/>
          <w:szCs w:val="24"/>
          <w:lang w:val="es-ES"/>
        </w:rPr>
        <w:t xml:space="preserve"> E</w:t>
      </w:r>
      <w:r w:rsidR="00EA7D31">
        <w:rPr>
          <w:rFonts w:ascii="Times New Roman" w:hAnsi="Times New Roman" w:cs="Times New Roman"/>
          <w:sz w:val="24"/>
          <w:szCs w:val="24"/>
          <w:lang w:val="es-ES"/>
        </w:rPr>
        <w:t>statales</w:t>
      </w:r>
      <w:r w:rsidRPr="002A1746">
        <w:rPr>
          <w:rFonts w:ascii="Times New Roman" w:hAnsi="Times New Roman" w:cs="Times New Roman"/>
          <w:sz w:val="24"/>
          <w:szCs w:val="24"/>
          <w:lang w:val="es-ES"/>
        </w:rPr>
        <w:t xml:space="preserve"> </w:t>
      </w:r>
      <w:r w:rsidR="00687568">
        <w:rPr>
          <w:noProof/>
          <w:lang w:val="es-ES" w:eastAsia="es-ES"/>
        </w:rPr>
        <w:drawing>
          <wp:inline distT="0" distB="0" distL="0" distR="0" wp14:anchorId="0D2B50F7" wp14:editId="51CDD91D">
            <wp:extent cx="5400040" cy="2808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1892" w:rsidRPr="002A1746" w:rsidRDefault="00961892" w:rsidP="00961892">
      <w:pPr>
        <w:spacing w:before="120" w:after="120" w:line="360" w:lineRule="auto"/>
        <w:rPr>
          <w:rFonts w:ascii="Times New Roman" w:hAnsi="Times New Roman" w:cs="Times New Roman"/>
          <w:sz w:val="18"/>
          <w:szCs w:val="24"/>
          <w:lang w:val="es-ES"/>
        </w:rPr>
      </w:pPr>
      <w:r w:rsidRPr="002A1746">
        <w:rPr>
          <w:rFonts w:ascii="Times New Roman" w:hAnsi="Times New Roman" w:cs="Times New Roman"/>
          <w:sz w:val="18"/>
          <w:szCs w:val="24"/>
          <w:lang w:val="es-ES"/>
        </w:rPr>
        <w:t xml:space="preserve">Fuente: Elaboración propia con </w:t>
      </w:r>
      <w:proofErr w:type="spellStart"/>
      <w:r w:rsidRPr="002A1746">
        <w:rPr>
          <w:rFonts w:ascii="Times New Roman" w:hAnsi="Times New Roman" w:cs="Times New Roman"/>
          <w:sz w:val="18"/>
          <w:szCs w:val="24"/>
          <w:lang w:val="es-ES"/>
        </w:rPr>
        <w:t>microdatos</w:t>
      </w:r>
      <w:proofErr w:type="spellEnd"/>
      <w:r w:rsidRPr="002A1746">
        <w:rPr>
          <w:rFonts w:ascii="Times New Roman" w:hAnsi="Times New Roman" w:cs="Times New Roman"/>
          <w:sz w:val="18"/>
          <w:szCs w:val="24"/>
          <w:lang w:val="es-ES"/>
        </w:rPr>
        <w:t xml:space="preserve"> ECV-INE.</w:t>
      </w:r>
    </w:p>
    <w:p w:rsidR="0029034C" w:rsidRPr="002A1746" w:rsidRDefault="00992F2C" w:rsidP="0029034C">
      <w:pPr>
        <w:autoSpaceDE w:val="0"/>
        <w:autoSpaceDN w:val="0"/>
        <w:adjustRightInd w:val="0"/>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lastRenderedPageBreak/>
        <w:t xml:space="preserve">Tanto con </w:t>
      </w:r>
      <w:proofErr w:type="spellStart"/>
      <w:r w:rsidRPr="002A1746">
        <w:rPr>
          <w:rFonts w:ascii="Times New Roman" w:hAnsi="Times New Roman" w:cs="Times New Roman"/>
          <w:sz w:val="24"/>
          <w:szCs w:val="24"/>
          <w:lang w:val="es-ES"/>
        </w:rPr>
        <w:t>Lp</w:t>
      </w:r>
      <w:proofErr w:type="spellEnd"/>
      <w:r w:rsidRPr="002A1746">
        <w:rPr>
          <w:rFonts w:ascii="Times New Roman" w:hAnsi="Times New Roman" w:cs="Times New Roman"/>
          <w:sz w:val="24"/>
          <w:szCs w:val="24"/>
          <w:lang w:val="es-ES"/>
        </w:rPr>
        <w:t xml:space="preserve"> como con Lp1 los resultados son bastante parecidos</w:t>
      </w:r>
      <w:r w:rsidR="009C342C" w:rsidRPr="002A1746">
        <w:rPr>
          <w:rFonts w:ascii="Times New Roman" w:hAnsi="Times New Roman" w:cs="Times New Roman"/>
          <w:sz w:val="24"/>
          <w:szCs w:val="24"/>
          <w:lang w:val="es-ES"/>
        </w:rPr>
        <w:t>, algo superiores con Lp1</w:t>
      </w:r>
      <w:r w:rsidRPr="002A1746">
        <w:rPr>
          <w:rFonts w:ascii="Times New Roman" w:hAnsi="Times New Roman" w:cs="Times New Roman"/>
          <w:sz w:val="24"/>
          <w:szCs w:val="24"/>
          <w:lang w:val="es-ES"/>
        </w:rPr>
        <w:t xml:space="preserve">. Es así porque la variabilidad de la mediana y de </w:t>
      </w:r>
      <w:proofErr w:type="spellStart"/>
      <w:r w:rsidRPr="002A1746">
        <w:rPr>
          <w:rFonts w:ascii="Times New Roman" w:hAnsi="Times New Roman" w:cs="Times New Roman"/>
          <w:sz w:val="24"/>
          <w:szCs w:val="24"/>
          <w:lang w:val="es-ES"/>
        </w:rPr>
        <w:t>Lp</w:t>
      </w:r>
      <w:proofErr w:type="spellEnd"/>
      <w:r w:rsidRPr="002A1746">
        <w:rPr>
          <w:rFonts w:ascii="Times New Roman" w:hAnsi="Times New Roman" w:cs="Times New Roman"/>
          <w:sz w:val="24"/>
          <w:szCs w:val="24"/>
          <w:lang w:val="es-ES"/>
        </w:rPr>
        <w:t xml:space="preserve"> no es muy elevada</w:t>
      </w:r>
      <w:r w:rsidR="00F20E56" w:rsidRPr="002A1746">
        <w:rPr>
          <w:rFonts w:ascii="Times New Roman" w:hAnsi="Times New Roman" w:cs="Times New Roman"/>
          <w:sz w:val="24"/>
          <w:szCs w:val="24"/>
          <w:lang w:val="es-ES"/>
        </w:rPr>
        <w:t xml:space="preserve"> como podíamos observar en la Tabla 2</w:t>
      </w:r>
      <w:r w:rsidRPr="002A1746">
        <w:rPr>
          <w:rFonts w:ascii="Times New Roman" w:hAnsi="Times New Roman" w:cs="Times New Roman"/>
          <w:sz w:val="24"/>
          <w:szCs w:val="24"/>
          <w:lang w:val="es-ES"/>
        </w:rPr>
        <w:t xml:space="preserve">. La mayor diferencia entre estas dos líneas se alcanza en el último año y asciende a unos 360€. Los cambios importantes se manifiestan cuando utilizamos rentas </w:t>
      </w:r>
      <w:r w:rsidR="005B0FFE" w:rsidRPr="002A1746">
        <w:rPr>
          <w:rFonts w:ascii="Times New Roman" w:hAnsi="Times New Roman" w:cs="Times New Roman"/>
          <w:sz w:val="24"/>
          <w:szCs w:val="24"/>
          <w:lang w:val="es-ES"/>
        </w:rPr>
        <w:t>reales en PPA (IDEP)</w:t>
      </w:r>
      <w:r w:rsidRPr="002A1746">
        <w:rPr>
          <w:rFonts w:ascii="Times New Roman" w:hAnsi="Times New Roman" w:cs="Times New Roman"/>
          <w:sz w:val="24"/>
          <w:szCs w:val="24"/>
          <w:lang w:val="es-ES"/>
        </w:rPr>
        <w:t>.</w:t>
      </w:r>
      <w:r w:rsidR="005B0FFE" w:rsidRPr="002A1746">
        <w:rPr>
          <w:rFonts w:ascii="Times New Roman" w:hAnsi="Times New Roman" w:cs="Times New Roman"/>
          <w:sz w:val="24"/>
          <w:szCs w:val="24"/>
          <w:lang w:val="es-ES"/>
        </w:rPr>
        <w:t xml:space="preserve"> En este caso, l</w:t>
      </w:r>
      <w:r w:rsidRPr="002A1746">
        <w:rPr>
          <w:rFonts w:ascii="Times New Roman" w:hAnsi="Times New Roman" w:cs="Times New Roman"/>
          <w:sz w:val="24"/>
          <w:szCs w:val="24"/>
          <w:lang w:val="es-ES"/>
        </w:rPr>
        <w:t xml:space="preserve">os porcentajes de pobreza de prácticamente todas las regiones se incrementan con respecto a los dos métodos anteriores, a pesar de que el umbral </w:t>
      </w:r>
      <w:r w:rsidR="005B0FFE" w:rsidRPr="002A1746">
        <w:rPr>
          <w:rFonts w:ascii="Times New Roman" w:hAnsi="Times New Roman" w:cs="Times New Roman"/>
          <w:sz w:val="24"/>
          <w:szCs w:val="24"/>
          <w:lang w:val="es-ES"/>
        </w:rPr>
        <w:t xml:space="preserve">Lp2 </w:t>
      </w:r>
      <w:r w:rsidRPr="002A1746">
        <w:rPr>
          <w:rFonts w:ascii="Times New Roman" w:hAnsi="Times New Roman" w:cs="Times New Roman"/>
          <w:sz w:val="24"/>
          <w:szCs w:val="24"/>
          <w:lang w:val="es-ES"/>
        </w:rPr>
        <w:t>es inferior en 30€. Este incremento es más reseñable</w:t>
      </w:r>
      <w:r w:rsidR="00887B85" w:rsidRPr="002A1746">
        <w:rPr>
          <w:rFonts w:ascii="Times New Roman" w:hAnsi="Times New Roman" w:cs="Times New Roman"/>
          <w:sz w:val="24"/>
          <w:szCs w:val="24"/>
          <w:lang w:val="es-ES"/>
        </w:rPr>
        <w:t xml:space="preserve">, como era </w:t>
      </w:r>
      <w:r w:rsidR="00687568">
        <w:rPr>
          <w:rFonts w:ascii="Times New Roman" w:hAnsi="Times New Roman" w:cs="Times New Roman"/>
          <w:sz w:val="24"/>
          <w:szCs w:val="24"/>
          <w:lang w:val="es-ES"/>
        </w:rPr>
        <w:t>d</w:t>
      </w:r>
      <w:r w:rsidR="00887B85" w:rsidRPr="002A1746">
        <w:rPr>
          <w:rFonts w:ascii="Times New Roman" w:hAnsi="Times New Roman" w:cs="Times New Roman"/>
          <w:sz w:val="24"/>
          <w:szCs w:val="24"/>
          <w:lang w:val="es-ES"/>
        </w:rPr>
        <w:t>e esperar,</w:t>
      </w:r>
      <w:r w:rsidRPr="002A1746">
        <w:rPr>
          <w:rFonts w:ascii="Times New Roman" w:hAnsi="Times New Roman" w:cs="Times New Roman"/>
          <w:sz w:val="24"/>
          <w:szCs w:val="24"/>
          <w:lang w:val="es-ES"/>
        </w:rPr>
        <w:t xml:space="preserve"> en aquellas comunidades </w:t>
      </w:r>
      <w:r w:rsidR="00887B85" w:rsidRPr="002A1746">
        <w:rPr>
          <w:rFonts w:ascii="Times New Roman" w:hAnsi="Times New Roman" w:cs="Times New Roman"/>
          <w:sz w:val="24"/>
          <w:szCs w:val="24"/>
          <w:lang w:val="es-ES"/>
        </w:rPr>
        <w:t xml:space="preserve">donde el </w:t>
      </w:r>
      <w:r w:rsidR="001C5FE1" w:rsidRPr="002A1746">
        <w:rPr>
          <w:rFonts w:ascii="Times New Roman" w:hAnsi="Times New Roman" w:cs="Times New Roman"/>
          <w:sz w:val="24"/>
          <w:szCs w:val="24"/>
          <w:lang w:val="es-ES"/>
        </w:rPr>
        <w:t>coste de vida es más elevado.</w:t>
      </w:r>
    </w:p>
    <w:p w:rsidR="00715D9B" w:rsidRPr="002A1746" w:rsidRDefault="00DF70EE" w:rsidP="0029034C">
      <w:pPr>
        <w:autoSpaceDE w:val="0"/>
        <w:autoSpaceDN w:val="0"/>
        <w:adjustRightInd w:val="0"/>
        <w:spacing w:before="120" w:after="120" w:line="360" w:lineRule="auto"/>
        <w:jc w:val="both"/>
        <w:rPr>
          <w:rFonts w:ascii="Times New Roman" w:hAnsi="Times New Roman" w:cs="Times New Roman"/>
          <w:sz w:val="24"/>
          <w:szCs w:val="24"/>
          <w:lang w:val="es-ES"/>
        </w:rPr>
      </w:pPr>
      <w:r w:rsidRPr="00DF70EE">
        <w:rPr>
          <w:rFonts w:ascii="Times New Roman" w:hAnsi="Times New Roman" w:cs="Times New Roman"/>
          <w:sz w:val="24"/>
          <w:szCs w:val="24"/>
          <w:lang w:val="es-ES"/>
        </w:rPr>
        <w:t>En cuanto a la evolución de la pobreza, los</w:t>
      </w:r>
      <w:r w:rsidR="00261DD7" w:rsidRPr="00DF70EE">
        <w:rPr>
          <w:rFonts w:ascii="Times New Roman" w:hAnsi="Times New Roman" w:cs="Times New Roman"/>
          <w:sz w:val="24"/>
          <w:szCs w:val="24"/>
          <w:lang w:val="es-ES"/>
        </w:rPr>
        <w:t xml:space="preserve"> resultados</w:t>
      </w:r>
      <w:r w:rsidR="00261DD7" w:rsidRPr="002A1746">
        <w:rPr>
          <w:rFonts w:ascii="Times New Roman" w:hAnsi="Times New Roman" w:cs="Times New Roman"/>
          <w:sz w:val="24"/>
          <w:szCs w:val="24"/>
          <w:lang w:val="es-ES"/>
        </w:rPr>
        <w:t xml:space="preserve"> según </w:t>
      </w:r>
      <w:proofErr w:type="spellStart"/>
      <w:r w:rsidR="00992F2C" w:rsidRPr="002A1746">
        <w:rPr>
          <w:rFonts w:ascii="Times New Roman" w:hAnsi="Times New Roman" w:cs="Times New Roman"/>
          <w:sz w:val="24"/>
          <w:szCs w:val="24"/>
          <w:lang w:val="es-ES"/>
        </w:rPr>
        <w:t>Lp</w:t>
      </w:r>
      <w:proofErr w:type="spellEnd"/>
      <w:r w:rsidR="00992F2C" w:rsidRPr="002A1746">
        <w:rPr>
          <w:rFonts w:ascii="Times New Roman" w:hAnsi="Times New Roman" w:cs="Times New Roman"/>
          <w:sz w:val="24"/>
          <w:szCs w:val="24"/>
          <w:lang w:val="es-ES"/>
        </w:rPr>
        <w:t xml:space="preserve"> y Lp1 reflejan que existen entre tres y cuatro regiones que han descendido sus n</w:t>
      </w:r>
      <w:r w:rsidR="00865D0C" w:rsidRPr="002A1746">
        <w:rPr>
          <w:rFonts w:ascii="Times New Roman" w:hAnsi="Times New Roman" w:cs="Times New Roman"/>
          <w:sz w:val="24"/>
          <w:szCs w:val="24"/>
          <w:lang w:val="es-ES"/>
        </w:rPr>
        <w:t>iveles de pobreza en el periodo</w:t>
      </w:r>
      <w:r w:rsidR="00261DD7" w:rsidRPr="002A1746">
        <w:rPr>
          <w:rFonts w:ascii="Times New Roman" w:hAnsi="Times New Roman" w:cs="Times New Roman"/>
          <w:sz w:val="24"/>
          <w:szCs w:val="24"/>
          <w:lang w:val="es-ES"/>
        </w:rPr>
        <w:t>. S</w:t>
      </w:r>
      <w:r w:rsidR="00992F2C" w:rsidRPr="002A1746">
        <w:rPr>
          <w:rFonts w:ascii="Times New Roman" w:hAnsi="Times New Roman" w:cs="Times New Roman"/>
          <w:sz w:val="24"/>
          <w:szCs w:val="24"/>
          <w:lang w:val="es-ES"/>
        </w:rPr>
        <w:t xml:space="preserve">in embargo, con Lp2 no existe tal comportamiento, todas las regiones españolas tienen en 2012 tasas de pobreza más elevadas que en 2008, </w:t>
      </w:r>
      <w:r w:rsidR="00261DD7" w:rsidRPr="002A1746">
        <w:rPr>
          <w:rFonts w:ascii="Times New Roman" w:hAnsi="Times New Roman" w:cs="Times New Roman"/>
          <w:sz w:val="24"/>
          <w:szCs w:val="24"/>
          <w:lang w:val="es-ES"/>
        </w:rPr>
        <w:t>si bien</w:t>
      </w:r>
      <w:r w:rsidR="00992F2C" w:rsidRPr="002A1746">
        <w:rPr>
          <w:rFonts w:ascii="Times New Roman" w:hAnsi="Times New Roman" w:cs="Times New Roman"/>
          <w:sz w:val="24"/>
          <w:szCs w:val="24"/>
          <w:lang w:val="es-ES"/>
        </w:rPr>
        <w:t xml:space="preserve"> las que menos han incrementado </w:t>
      </w:r>
      <w:r w:rsidR="00261DD7" w:rsidRPr="002A1746">
        <w:rPr>
          <w:rFonts w:ascii="Times New Roman" w:hAnsi="Times New Roman" w:cs="Times New Roman"/>
          <w:sz w:val="24"/>
          <w:szCs w:val="24"/>
          <w:lang w:val="es-ES"/>
        </w:rPr>
        <w:t xml:space="preserve">sus </w:t>
      </w:r>
      <w:r w:rsidR="00992F2C" w:rsidRPr="002A1746">
        <w:rPr>
          <w:rFonts w:ascii="Times New Roman" w:hAnsi="Times New Roman" w:cs="Times New Roman"/>
          <w:sz w:val="24"/>
          <w:szCs w:val="24"/>
          <w:lang w:val="es-ES"/>
        </w:rPr>
        <w:t xml:space="preserve">tasas son las mismas que manifiestan descensos con las otras dos líneas (Castilla y León, Galicia, La Rioja y Extremadura). Por el otro lado, las regiones que más </w:t>
      </w:r>
      <w:r w:rsidR="00261DD7" w:rsidRPr="002A1746">
        <w:rPr>
          <w:rFonts w:ascii="Times New Roman" w:hAnsi="Times New Roman" w:cs="Times New Roman"/>
          <w:sz w:val="24"/>
          <w:szCs w:val="24"/>
          <w:lang w:val="es-ES"/>
        </w:rPr>
        <w:t>aumentan</w:t>
      </w:r>
      <w:r w:rsidR="00992F2C" w:rsidRPr="002A1746">
        <w:rPr>
          <w:rFonts w:ascii="Times New Roman" w:hAnsi="Times New Roman" w:cs="Times New Roman"/>
          <w:sz w:val="24"/>
          <w:szCs w:val="24"/>
          <w:lang w:val="es-ES"/>
        </w:rPr>
        <w:t xml:space="preserve"> sus tasas de pobreza (llegando a duplicarla e</w:t>
      </w:r>
      <w:r w:rsidR="00D314FC">
        <w:rPr>
          <w:rFonts w:ascii="Times New Roman" w:hAnsi="Times New Roman" w:cs="Times New Roman"/>
          <w:sz w:val="24"/>
          <w:szCs w:val="24"/>
          <w:lang w:val="es-ES"/>
        </w:rPr>
        <w:t>n algún caso) son Cantabria, Isla</w:t>
      </w:r>
      <w:r w:rsidR="00992F2C" w:rsidRPr="002A1746">
        <w:rPr>
          <w:rFonts w:ascii="Times New Roman" w:hAnsi="Times New Roman" w:cs="Times New Roman"/>
          <w:sz w:val="24"/>
          <w:szCs w:val="24"/>
          <w:lang w:val="es-ES"/>
        </w:rPr>
        <w:t>s Balear</w:t>
      </w:r>
      <w:r w:rsidR="00D314FC">
        <w:rPr>
          <w:rFonts w:ascii="Times New Roman" w:hAnsi="Times New Roman" w:cs="Times New Roman"/>
          <w:sz w:val="24"/>
          <w:szCs w:val="24"/>
          <w:lang w:val="es-ES"/>
        </w:rPr>
        <w:t>e</w:t>
      </w:r>
      <w:r w:rsidR="00992F2C" w:rsidRPr="002A1746">
        <w:rPr>
          <w:rFonts w:ascii="Times New Roman" w:hAnsi="Times New Roman" w:cs="Times New Roman"/>
          <w:sz w:val="24"/>
          <w:szCs w:val="24"/>
          <w:lang w:val="es-ES"/>
        </w:rPr>
        <w:t xml:space="preserve">s y Navarra, aunque </w:t>
      </w:r>
      <w:r w:rsidR="00261DD7" w:rsidRPr="002A1746">
        <w:rPr>
          <w:rFonts w:ascii="Times New Roman" w:hAnsi="Times New Roman" w:cs="Times New Roman"/>
          <w:sz w:val="24"/>
          <w:szCs w:val="24"/>
          <w:lang w:val="es-ES"/>
        </w:rPr>
        <w:t>e</w:t>
      </w:r>
      <w:r w:rsidR="00992F2C" w:rsidRPr="002A1746">
        <w:rPr>
          <w:rFonts w:ascii="Times New Roman" w:hAnsi="Times New Roman" w:cs="Times New Roman"/>
          <w:sz w:val="24"/>
          <w:szCs w:val="24"/>
          <w:lang w:val="es-ES"/>
        </w:rPr>
        <w:t xml:space="preserve">sta última no lo manifiesta </w:t>
      </w:r>
      <w:r w:rsidR="00CC51A2" w:rsidRPr="002A1746">
        <w:rPr>
          <w:rFonts w:ascii="Times New Roman" w:hAnsi="Times New Roman" w:cs="Times New Roman"/>
          <w:sz w:val="24"/>
          <w:szCs w:val="24"/>
          <w:lang w:val="es-ES"/>
        </w:rPr>
        <w:t xml:space="preserve">tan intensamente </w:t>
      </w:r>
      <w:r>
        <w:rPr>
          <w:rFonts w:ascii="Times New Roman" w:hAnsi="Times New Roman" w:cs="Times New Roman"/>
          <w:sz w:val="24"/>
          <w:szCs w:val="24"/>
          <w:lang w:val="es-ES"/>
        </w:rPr>
        <w:t xml:space="preserve">con </w:t>
      </w:r>
      <w:r w:rsidRPr="00DF70EE">
        <w:rPr>
          <w:rFonts w:ascii="Times New Roman" w:hAnsi="Times New Roman" w:cs="Times New Roman"/>
          <w:sz w:val="24"/>
          <w:szCs w:val="24"/>
          <w:lang w:val="es-ES"/>
        </w:rPr>
        <w:t>Lp2 y sigue manteniéndose como</w:t>
      </w:r>
      <w:r w:rsidR="00992F2C" w:rsidRPr="00DF70EE">
        <w:rPr>
          <w:rFonts w:ascii="Times New Roman" w:hAnsi="Times New Roman" w:cs="Times New Roman"/>
          <w:sz w:val="24"/>
          <w:szCs w:val="24"/>
          <w:lang w:val="es-ES"/>
        </w:rPr>
        <w:t xml:space="preserve"> una de</w:t>
      </w:r>
      <w:r w:rsidR="00992F2C" w:rsidRPr="002A1746">
        <w:rPr>
          <w:rFonts w:ascii="Times New Roman" w:hAnsi="Times New Roman" w:cs="Times New Roman"/>
          <w:sz w:val="24"/>
          <w:szCs w:val="24"/>
          <w:lang w:val="es-ES"/>
        </w:rPr>
        <w:t xml:space="preserve"> las regiones con</w:t>
      </w:r>
      <w:r w:rsidR="00261DD7" w:rsidRPr="002A1746">
        <w:rPr>
          <w:rFonts w:ascii="Times New Roman" w:hAnsi="Times New Roman" w:cs="Times New Roman"/>
          <w:sz w:val="24"/>
          <w:szCs w:val="24"/>
          <w:lang w:val="es-ES"/>
        </w:rPr>
        <w:t xml:space="preserve"> menor porcentaje de pobres</w:t>
      </w:r>
      <w:r w:rsidR="00992F2C" w:rsidRPr="002A1746">
        <w:rPr>
          <w:rFonts w:ascii="Times New Roman" w:hAnsi="Times New Roman" w:cs="Times New Roman"/>
          <w:sz w:val="24"/>
          <w:szCs w:val="24"/>
          <w:lang w:val="es-ES"/>
        </w:rPr>
        <w:t xml:space="preserve">. </w:t>
      </w:r>
      <w:r w:rsidR="00836464" w:rsidRPr="00135A41">
        <w:rPr>
          <w:rFonts w:ascii="Times New Roman" w:hAnsi="Times New Roman" w:cs="Times New Roman"/>
          <w:sz w:val="24"/>
          <w:szCs w:val="24"/>
          <w:lang w:val="es-ES"/>
        </w:rPr>
        <w:t>P</w:t>
      </w:r>
      <w:r w:rsidRPr="00135A41">
        <w:rPr>
          <w:rFonts w:ascii="Times New Roman" w:hAnsi="Times New Roman" w:cs="Times New Roman"/>
          <w:sz w:val="24"/>
          <w:szCs w:val="24"/>
          <w:lang w:val="es-ES"/>
        </w:rPr>
        <w:t xml:space="preserve">resentan subidas </w:t>
      </w:r>
      <w:r w:rsidR="00836464" w:rsidRPr="00135A41">
        <w:rPr>
          <w:rFonts w:ascii="Times New Roman" w:hAnsi="Times New Roman" w:cs="Times New Roman"/>
          <w:sz w:val="24"/>
          <w:szCs w:val="24"/>
          <w:lang w:val="es-ES"/>
        </w:rPr>
        <w:t xml:space="preserve">algo menores a las anteriores pero aún </w:t>
      </w:r>
      <w:r w:rsidRPr="00135A41">
        <w:rPr>
          <w:rFonts w:ascii="Times New Roman" w:hAnsi="Times New Roman" w:cs="Times New Roman"/>
          <w:sz w:val="24"/>
          <w:szCs w:val="24"/>
          <w:lang w:val="es-ES"/>
        </w:rPr>
        <w:t>superiores a la media español</w:t>
      </w:r>
      <w:r w:rsidR="00BD45BD" w:rsidRPr="00135A41">
        <w:rPr>
          <w:rFonts w:ascii="Times New Roman" w:hAnsi="Times New Roman" w:cs="Times New Roman"/>
          <w:sz w:val="24"/>
          <w:szCs w:val="24"/>
          <w:lang w:val="es-ES"/>
        </w:rPr>
        <w:t>a el País Vasco, Asturias, Catal</w:t>
      </w:r>
      <w:r w:rsidR="00836464" w:rsidRPr="00135A41">
        <w:rPr>
          <w:rFonts w:ascii="Times New Roman" w:hAnsi="Times New Roman" w:cs="Times New Roman"/>
          <w:sz w:val="24"/>
          <w:szCs w:val="24"/>
          <w:lang w:val="es-ES"/>
        </w:rPr>
        <w:t xml:space="preserve">uña, Aragón, Canarias, </w:t>
      </w:r>
      <w:r w:rsidRPr="00135A41">
        <w:rPr>
          <w:rFonts w:ascii="Times New Roman" w:hAnsi="Times New Roman" w:cs="Times New Roman"/>
          <w:sz w:val="24"/>
          <w:szCs w:val="24"/>
          <w:lang w:val="es-ES"/>
        </w:rPr>
        <w:t xml:space="preserve"> Castilla-La mancha</w:t>
      </w:r>
      <w:r w:rsidR="00836464" w:rsidRPr="00135A41">
        <w:rPr>
          <w:rFonts w:ascii="Times New Roman" w:hAnsi="Times New Roman" w:cs="Times New Roman"/>
          <w:sz w:val="24"/>
          <w:szCs w:val="24"/>
          <w:lang w:val="es-ES"/>
        </w:rPr>
        <w:t xml:space="preserve"> y Murcia</w:t>
      </w:r>
      <w:r w:rsidRPr="00135A41">
        <w:rPr>
          <w:rFonts w:ascii="Times New Roman" w:hAnsi="Times New Roman" w:cs="Times New Roman"/>
          <w:sz w:val="24"/>
          <w:szCs w:val="24"/>
          <w:lang w:val="es-ES"/>
        </w:rPr>
        <w:t xml:space="preserve">.  </w:t>
      </w:r>
    </w:p>
    <w:p w:rsidR="00715D9B" w:rsidRPr="002A1746" w:rsidRDefault="00715D9B" w:rsidP="00715D9B">
      <w:pPr>
        <w:autoSpaceDE w:val="0"/>
        <w:autoSpaceDN w:val="0"/>
        <w:adjustRightInd w:val="0"/>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La inclusión del alquiler imputado, nos deja un efecto diferente del esperado en algunas regiones, aunque, en términos generales, siguen siendo las mismas regiones las que presentan un menor (</w:t>
      </w:r>
      <w:r w:rsidR="00687568">
        <w:rPr>
          <w:rFonts w:ascii="Times New Roman" w:hAnsi="Times New Roman" w:cs="Times New Roman"/>
          <w:sz w:val="24"/>
          <w:szCs w:val="24"/>
          <w:lang w:val="es-ES"/>
        </w:rPr>
        <w:t>mayor) porcentaje de pobres. Islas</w:t>
      </w:r>
      <w:r w:rsidRPr="002A1746">
        <w:rPr>
          <w:rFonts w:ascii="Times New Roman" w:hAnsi="Times New Roman" w:cs="Times New Roman"/>
          <w:sz w:val="24"/>
          <w:szCs w:val="24"/>
          <w:lang w:val="es-ES"/>
        </w:rPr>
        <w:t xml:space="preserve"> Balear</w:t>
      </w:r>
      <w:r w:rsidR="00687568">
        <w:rPr>
          <w:rFonts w:ascii="Times New Roman" w:hAnsi="Times New Roman" w:cs="Times New Roman"/>
          <w:sz w:val="24"/>
          <w:szCs w:val="24"/>
          <w:lang w:val="es-ES"/>
        </w:rPr>
        <w:t>e</w:t>
      </w:r>
      <w:r w:rsidRPr="002A1746">
        <w:rPr>
          <w:rFonts w:ascii="Times New Roman" w:hAnsi="Times New Roman" w:cs="Times New Roman"/>
          <w:sz w:val="24"/>
          <w:szCs w:val="24"/>
          <w:lang w:val="es-ES"/>
        </w:rPr>
        <w:t>s muestra una menor diferencia entre el porcentaje de pobres con y sin alquiler imputado (a la que también se le añade Navarra con Lp2,</w:t>
      </w:r>
      <w:r w:rsidR="00687568">
        <w:rPr>
          <w:rFonts w:ascii="Times New Roman" w:hAnsi="Times New Roman" w:cs="Times New Roman"/>
          <w:sz w:val="24"/>
          <w:szCs w:val="24"/>
          <w:lang w:val="es-ES"/>
        </w:rPr>
        <w:t xml:space="preserve"> que es </w:t>
      </w:r>
      <w:r w:rsidRPr="002A1746">
        <w:rPr>
          <w:rFonts w:ascii="Times New Roman" w:hAnsi="Times New Roman" w:cs="Times New Roman"/>
          <w:sz w:val="24"/>
          <w:szCs w:val="24"/>
          <w:lang w:val="es-ES"/>
        </w:rPr>
        <w:t>la única que manifiesta un incremento de pobreza cuando incluimos el alquiler imputado), lo que puede ser explicado por un menor porcentaje de vivienda en propiedad (es la región con un menor porcentaje, 65%-70% aproximadamente,</w:t>
      </w:r>
      <w:r w:rsidR="009E74FE">
        <w:rPr>
          <w:rFonts w:ascii="Times New Roman" w:hAnsi="Times New Roman" w:cs="Times New Roman"/>
          <w:sz w:val="24"/>
          <w:szCs w:val="24"/>
          <w:lang w:val="es-ES"/>
        </w:rPr>
        <w:t xml:space="preserve"> de viviendas en propiedad con y</w:t>
      </w:r>
      <w:r w:rsidRPr="002A1746">
        <w:rPr>
          <w:rFonts w:ascii="Times New Roman" w:hAnsi="Times New Roman" w:cs="Times New Roman"/>
          <w:sz w:val="24"/>
          <w:szCs w:val="24"/>
          <w:lang w:val="es-ES"/>
        </w:rPr>
        <w:t xml:space="preserve"> sin garantía hipotecaria) y/o que los hogares con vivienda en propiedad, en mayor proporción que en las otras regiones, se encuentran por encima de la línea de pobreza (solo el 50% de los pobres Lp1 tienen vivienda en propiedad en 2012). El caso contrario se manifiesta en las regiones que presentan unos peores indicadores de pobreza, es decir, el alquiler imputado mejora los </w:t>
      </w:r>
      <w:r w:rsidRPr="002A1746">
        <w:rPr>
          <w:rFonts w:ascii="Times New Roman" w:hAnsi="Times New Roman" w:cs="Times New Roman"/>
          <w:sz w:val="24"/>
          <w:szCs w:val="24"/>
          <w:lang w:val="es-ES"/>
        </w:rPr>
        <w:lastRenderedPageBreak/>
        <w:t xml:space="preserve">indicadores de pobreza en mayor medida en las regiones pobres y, al contrario que </w:t>
      </w:r>
      <w:r w:rsidRPr="00971A31">
        <w:rPr>
          <w:rFonts w:ascii="Times New Roman" w:hAnsi="Times New Roman" w:cs="Times New Roman"/>
          <w:sz w:val="24"/>
          <w:szCs w:val="24"/>
          <w:lang w:val="es-ES"/>
        </w:rPr>
        <w:t>antes, el porcentaje de pobres que tienen vivienda en propiedad es mayor que en las demás regiones (con la excepción de Galicia, La Rioja y Cantabria, en las que también hay un alto porcentaje</w:t>
      </w:r>
      <w:r w:rsidRPr="002A1746">
        <w:rPr>
          <w:rFonts w:ascii="Times New Roman" w:hAnsi="Times New Roman" w:cs="Times New Roman"/>
          <w:sz w:val="24"/>
          <w:szCs w:val="24"/>
          <w:lang w:val="es-ES"/>
        </w:rPr>
        <w:t xml:space="preserve"> de pobres Lp1 con vivienda en propiedad).</w:t>
      </w:r>
    </w:p>
    <w:p w:rsidR="00715D9B" w:rsidRDefault="00715D9B" w:rsidP="0029034C">
      <w:pPr>
        <w:autoSpaceDE w:val="0"/>
        <w:autoSpaceDN w:val="0"/>
        <w:adjustRightInd w:val="0"/>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Gráfico 3: Tasa de Riesgo de Pobreza (%).</w:t>
      </w:r>
      <w:r w:rsidR="00421CBE">
        <w:rPr>
          <w:rFonts w:ascii="Times New Roman" w:hAnsi="Times New Roman" w:cs="Times New Roman"/>
          <w:sz w:val="24"/>
          <w:szCs w:val="24"/>
          <w:lang w:val="es-ES"/>
        </w:rPr>
        <w:t>Variables IDEI e IDEIP</w:t>
      </w:r>
      <w:r w:rsidR="00421CBE" w:rsidRPr="002A1746">
        <w:rPr>
          <w:rFonts w:ascii="Times New Roman" w:hAnsi="Times New Roman" w:cs="Times New Roman"/>
          <w:sz w:val="24"/>
          <w:szCs w:val="24"/>
          <w:lang w:val="es-ES"/>
        </w:rPr>
        <w:t>.</w:t>
      </w:r>
      <w:r w:rsidR="00421CBE">
        <w:rPr>
          <w:rFonts w:ascii="Times New Roman" w:hAnsi="Times New Roman" w:cs="Times New Roman"/>
          <w:sz w:val="24"/>
          <w:szCs w:val="24"/>
          <w:lang w:val="es-ES"/>
        </w:rPr>
        <w:t xml:space="preserve"> </w:t>
      </w:r>
      <w:r w:rsidR="00BA2739" w:rsidRPr="002A1746">
        <w:rPr>
          <w:rFonts w:ascii="Times New Roman" w:hAnsi="Times New Roman" w:cs="Times New Roman"/>
          <w:sz w:val="24"/>
          <w:szCs w:val="24"/>
          <w:lang w:val="es-ES"/>
        </w:rPr>
        <w:t>Líneas</w:t>
      </w:r>
      <w:r w:rsidR="00EA7D31">
        <w:rPr>
          <w:rFonts w:ascii="Times New Roman" w:hAnsi="Times New Roman" w:cs="Times New Roman"/>
          <w:sz w:val="24"/>
          <w:szCs w:val="24"/>
          <w:lang w:val="es-ES"/>
        </w:rPr>
        <w:t xml:space="preserve"> Estatales</w:t>
      </w:r>
    </w:p>
    <w:p w:rsidR="00961892" w:rsidRPr="00E13E58" w:rsidRDefault="00E13E58" w:rsidP="00E13E58">
      <w:pPr>
        <w:autoSpaceDE w:val="0"/>
        <w:autoSpaceDN w:val="0"/>
        <w:adjustRightInd w:val="0"/>
        <w:spacing w:before="120" w:after="120" w:line="360" w:lineRule="auto"/>
        <w:jc w:val="both"/>
        <w:rPr>
          <w:rFonts w:ascii="Times New Roman" w:hAnsi="Times New Roman" w:cs="Times New Roman"/>
          <w:sz w:val="24"/>
          <w:szCs w:val="24"/>
          <w:lang w:val="es-ES"/>
        </w:rPr>
      </w:pPr>
      <w:r>
        <w:rPr>
          <w:noProof/>
          <w:lang w:val="es-ES" w:eastAsia="es-ES"/>
        </w:rPr>
        <w:drawing>
          <wp:inline distT="0" distB="0" distL="0" distR="0" wp14:anchorId="195AD24C" wp14:editId="4C426774">
            <wp:extent cx="5305425" cy="27336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61892" w:rsidRPr="002A1746">
        <w:rPr>
          <w:rFonts w:ascii="Times New Roman" w:hAnsi="Times New Roman" w:cs="Times New Roman"/>
          <w:sz w:val="18"/>
          <w:szCs w:val="24"/>
          <w:lang w:val="es-ES"/>
        </w:rPr>
        <w:t xml:space="preserve">Fuente: Elaboración propia con </w:t>
      </w:r>
      <w:proofErr w:type="spellStart"/>
      <w:r w:rsidR="00961892" w:rsidRPr="002A1746">
        <w:rPr>
          <w:rFonts w:ascii="Times New Roman" w:hAnsi="Times New Roman" w:cs="Times New Roman"/>
          <w:sz w:val="18"/>
          <w:szCs w:val="24"/>
          <w:lang w:val="es-ES"/>
        </w:rPr>
        <w:t>microdatos</w:t>
      </w:r>
      <w:proofErr w:type="spellEnd"/>
      <w:r w:rsidR="00961892" w:rsidRPr="002A1746">
        <w:rPr>
          <w:rFonts w:ascii="Times New Roman" w:hAnsi="Times New Roman" w:cs="Times New Roman"/>
          <w:sz w:val="18"/>
          <w:szCs w:val="24"/>
          <w:lang w:val="es-ES"/>
        </w:rPr>
        <w:t xml:space="preserve"> ECV-INE.</w:t>
      </w:r>
    </w:p>
    <w:p w:rsidR="00514A12" w:rsidRPr="002A1746" w:rsidRDefault="006D285B" w:rsidP="00514A12">
      <w:pPr>
        <w:autoSpaceDE w:val="0"/>
        <w:autoSpaceDN w:val="0"/>
        <w:adjustRightInd w:val="0"/>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En cuanto a la evolución</w:t>
      </w:r>
      <w:r w:rsidR="003517D6" w:rsidRPr="002A1746">
        <w:rPr>
          <w:rFonts w:ascii="Times New Roman" w:hAnsi="Times New Roman" w:cs="Times New Roman"/>
          <w:sz w:val="24"/>
          <w:szCs w:val="24"/>
          <w:lang w:val="es-ES"/>
        </w:rPr>
        <w:t xml:space="preserve"> temporal</w:t>
      </w:r>
      <w:r w:rsidRPr="002A1746">
        <w:rPr>
          <w:rFonts w:ascii="Times New Roman" w:hAnsi="Times New Roman" w:cs="Times New Roman"/>
          <w:sz w:val="24"/>
          <w:szCs w:val="24"/>
          <w:lang w:val="es-ES"/>
        </w:rPr>
        <w:t xml:space="preserve">, solo hay dos regiones que manifiestan un descenso </w:t>
      </w:r>
      <w:r w:rsidR="003517D6" w:rsidRPr="002A1746">
        <w:rPr>
          <w:rFonts w:ascii="Times New Roman" w:hAnsi="Times New Roman" w:cs="Times New Roman"/>
          <w:sz w:val="24"/>
          <w:szCs w:val="24"/>
          <w:lang w:val="es-ES"/>
        </w:rPr>
        <w:t xml:space="preserve">en el porcentaje de pobres </w:t>
      </w:r>
      <w:r w:rsidRPr="002A1746">
        <w:rPr>
          <w:rFonts w:ascii="Times New Roman" w:hAnsi="Times New Roman" w:cs="Times New Roman"/>
          <w:sz w:val="24"/>
          <w:szCs w:val="24"/>
          <w:lang w:val="es-ES"/>
        </w:rPr>
        <w:t>con Lp1, Castilla y León y Galicia. De las que menos incrementan el porcentaje destacamos a Navarra que</w:t>
      </w:r>
      <w:r w:rsidR="00B06970" w:rsidRPr="002A1746">
        <w:rPr>
          <w:rFonts w:ascii="Times New Roman" w:hAnsi="Times New Roman" w:cs="Times New Roman"/>
          <w:sz w:val="24"/>
          <w:szCs w:val="24"/>
          <w:lang w:val="es-ES"/>
        </w:rPr>
        <w:t>,</w:t>
      </w:r>
      <w:r w:rsidRPr="002A1746">
        <w:rPr>
          <w:rFonts w:ascii="Times New Roman" w:hAnsi="Times New Roman" w:cs="Times New Roman"/>
          <w:sz w:val="24"/>
          <w:szCs w:val="24"/>
          <w:lang w:val="es-ES"/>
        </w:rPr>
        <w:t xml:space="preserve"> sin imputar los alquileres</w:t>
      </w:r>
      <w:r w:rsidR="00B06970" w:rsidRPr="002A1746">
        <w:rPr>
          <w:rFonts w:ascii="Times New Roman" w:hAnsi="Times New Roman" w:cs="Times New Roman"/>
          <w:sz w:val="24"/>
          <w:szCs w:val="24"/>
          <w:lang w:val="es-ES"/>
        </w:rPr>
        <w:t>, presenta</w:t>
      </w:r>
      <w:r w:rsidRPr="002A1746">
        <w:rPr>
          <w:rFonts w:ascii="Times New Roman" w:hAnsi="Times New Roman" w:cs="Times New Roman"/>
          <w:sz w:val="24"/>
          <w:szCs w:val="24"/>
          <w:lang w:val="es-ES"/>
        </w:rPr>
        <w:t xml:space="preserve"> una evolución de las más negativas, sin embargo, con alquiler</w:t>
      </w:r>
      <w:r w:rsidR="003517D6" w:rsidRPr="002A1746">
        <w:rPr>
          <w:rFonts w:ascii="Times New Roman" w:hAnsi="Times New Roman" w:cs="Times New Roman"/>
          <w:sz w:val="24"/>
          <w:szCs w:val="24"/>
          <w:lang w:val="es-ES"/>
        </w:rPr>
        <w:t xml:space="preserve"> imputado</w:t>
      </w:r>
      <w:r w:rsidRPr="002A1746">
        <w:rPr>
          <w:rFonts w:ascii="Times New Roman" w:hAnsi="Times New Roman" w:cs="Times New Roman"/>
          <w:sz w:val="24"/>
          <w:szCs w:val="24"/>
          <w:lang w:val="es-ES"/>
        </w:rPr>
        <w:t>, se encuentra entre las que menos han empeorado. Con Lp2, al igual que sin alquileres imputados, no hay ninguna región que mejore sus porcentajes. Las regiones que presentaban una evolución menos negativa siguen manteniéndo</w:t>
      </w:r>
      <w:r w:rsidR="003502CE" w:rsidRPr="002A1746">
        <w:rPr>
          <w:rFonts w:ascii="Times New Roman" w:hAnsi="Times New Roman" w:cs="Times New Roman"/>
          <w:sz w:val="24"/>
          <w:szCs w:val="24"/>
          <w:lang w:val="es-ES"/>
        </w:rPr>
        <w:t>la</w:t>
      </w:r>
      <w:r w:rsidRPr="002A1746">
        <w:rPr>
          <w:rFonts w:ascii="Times New Roman" w:hAnsi="Times New Roman" w:cs="Times New Roman"/>
          <w:sz w:val="24"/>
          <w:szCs w:val="24"/>
          <w:lang w:val="es-ES"/>
        </w:rPr>
        <w:t xml:space="preserve"> con alquiler imputado, mientras que  las que pre</w:t>
      </w:r>
      <w:r w:rsidR="00D314FC">
        <w:rPr>
          <w:rFonts w:ascii="Times New Roman" w:hAnsi="Times New Roman" w:cs="Times New Roman"/>
          <w:sz w:val="24"/>
          <w:szCs w:val="24"/>
          <w:lang w:val="es-ES"/>
        </w:rPr>
        <w:t>sentaban una peor evolución (Isla</w:t>
      </w:r>
      <w:r w:rsidRPr="002A1746">
        <w:rPr>
          <w:rFonts w:ascii="Times New Roman" w:hAnsi="Times New Roman" w:cs="Times New Roman"/>
          <w:sz w:val="24"/>
          <w:szCs w:val="24"/>
          <w:lang w:val="es-ES"/>
        </w:rPr>
        <w:t>s Balear</w:t>
      </w:r>
      <w:r w:rsidR="00D314FC">
        <w:rPr>
          <w:rFonts w:ascii="Times New Roman" w:hAnsi="Times New Roman" w:cs="Times New Roman"/>
          <w:sz w:val="24"/>
          <w:szCs w:val="24"/>
          <w:lang w:val="es-ES"/>
        </w:rPr>
        <w:t>e</w:t>
      </w:r>
      <w:r w:rsidRPr="002A1746">
        <w:rPr>
          <w:rFonts w:ascii="Times New Roman" w:hAnsi="Times New Roman" w:cs="Times New Roman"/>
          <w:sz w:val="24"/>
          <w:szCs w:val="24"/>
          <w:lang w:val="es-ES"/>
        </w:rPr>
        <w:t xml:space="preserve">s y Cantabria) ahora son superadas, en sentido negativo, por Navarra y Aragón que más que duplican sus tasas </w:t>
      </w:r>
      <w:r w:rsidR="00044A13" w:rsidRPr="002A1746">
        <w:rPr>
          <w:rFonts w:ascii="Times New Roman" w:hAnsi="Times New Roman" w:cs="Times New Roman"/>
          <w:sz w:val="24"/>
          <w:szCs w:val="24"/>
          <w:lang w:val="es-ES"/>
        </w:rPr>
        <w:t xml:space="preserve">de pobreza </w:t>
      </w:r>
      <w:r w:rsidRPr="002A1746">
        <w:rPr>
          <w:rFonts w:ascii="Times New Roman" w:hAnsi="Times New Roman" w:cs="Times New Roman"/>
          <w:sz w:val="24"/>
          <w:szCs w:val="24"/>
          <w:lang w:val="es-ES"/>
        </w:rPr>
        <w:t>iniciales.</w:t>
      </w:r>
    </w:p>
    <w:p w:rsidR="00514A12" w:rsidRPr="002A1746" w:rsidRDefault="003800BF" w:rsidP="00514A12">
      <w:pPr>
        <w:autoSpaceDE w:val="0"/>
        <w:autoSpaceDN w:val="0"/>
        <w:adjustRightInd w:val="0"/>
        <w:spacing w:before="120" w:after="120" w:line="360" w:lineRule="auto"/>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t>Análisis de</w:t>
      </w:r>
      <w:r w:rsidR="003119EC" w:rsidRPr="002A1746">
        <w:rPr>
          <w:rFonts w:ascii="Times New Roman" w:hAnsi="Times New Roman" w:cs="Times New Roman"/>
          <w:b/>
          <w:sz w:val="24"/>
          <w:szCs w:val="24"/>
          <w:lang w:val="es-ES"/>
        </w:rPr>
        <w:t xml:space="preserve"> l</w:t>
      </w:r>
      <w:r w:rsidRPr="002A1746">
        <w:rPr>
          <w:rFonts w:ascii="Times New Roman" w:hAnsi="Times New Roman" w:cs="Times New Roman"/>
          <w:b/>
          <w:sz w:val="24"/>
          <w:szCs w:val="24"/>
          <w:lang w:val="es-ES"/>
        </w:rPr>
        <w:t>a pobreza por regiones. Líneas regionales.</w:t>
      </w:r>
    </w:p>
    <w:p w:rsidR="00B66964" w:rsidRPr="002A1746" w:rsidRDefault="00B66964" w:rsidP="00B66964">
      <w:pPr>
        <w:keepNext/>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 xml:space="preserve">Cuando calculamos la pobreza utilizando líneas regionales Lp3 (definiendo la línea para cada región como el 60% de la mediana del ingreso disponible equivalente IDE en dicha región en el año 2008, y manteniendo constante dichas líneas durante todo el período analizado), tanto los porcentajes de pobres como la ordenación de las regiones difieren de los que resultaban de la aplicación de líneas estatales, mostrando porcentajes de </w:t>
      </w:r>
      <w:r w:rsidRPr="002A1746">
        <w:rPr>
          <w:rFonts w:ascii="Times New Roman" w:hAnsi="Times New Roman" w:cs="Times New Roman"/>
          <w:sz w:val="24"/>
          <w:szCs w:val="24"/>
          <w:lang w:val="es-ES"/>
        </w:rPr>
        <w:lastRenderedPageBreak/>
        <w:t>pobreza más elevados (reducidos) en aquellas regiones cuyas medianas eran mayores (menores) que la española. Es por esto que regiones como Navarra, Madrid, Aragón, País Vasco y Cataluña incrementan su</w:t>
      </w:r>
      <w:r w:rsidR="00F25EF8" w:rsidRPr="002A1746">
        <w:rPr>
          <w:rFonts w:ascii="Times New Roman" w:hAnsi="Times New Roman" w:cs="Times New Roman"/>
          <w:sz w:val="24"/>
          <w:szCs w:val="24"/>
          <w:lang w:val="es-ES"/>
        </w:rPr>
        <w:t xml:space="preserve">s porcentajes con respecto a </w:t>
      </w:r>
      <w:proofErr w:type="spellStart"/>
      <w:r w:rsidR="00F25EF8" w:rsidRPr="002A1746">
        <w:rPr>
          <w:rFonts w:ascii="Times New Roman" w:hAnsi="Times New Roman" w:cs="Times New Roman"/>
          <w:sz w:val="24"/>
          <w:szCs w:val="24"/>
          <w:lang w:val="es-ES"/>
        </w:rPr>
        <w:t>Lp</w:t>
      </w:r>
      <w:proofErr w:type="spellEnd"/>
      <w:r w:rsidR="00F25EF8" w:rsidRPr="002A1746">
        <w:rPr>
          <w:rFonts w:ascii="Times New Roman" w:hAnsi="Times New Roman" w:cs="Times New Roman"/>
          <w:sz w:val="24"/>
          <w:szCs w:val="24"/>
          <w:lang w:val="es-ES"/>
        </w:rPr>
        <w:t xml:space="preserve"> y </w:t>
      </w:r>
      <w:r w:rsidRPr="002A1746">
        <w:rPr>
          <w:rFonts w:ascii="Times New Roman" w:hAnsi="Times New Roman" w:cs="Times New Roman"/>
          <w:sz w:val="24"/>
          <w:szCs w:val="24"/>
          <w:lang w:val="es-ES"/>
        </w:rPr>
        <w:t>Lp1 entre un 3,5% y un 6,5%. El comportamiento contrario lo manifiestan Extremadura, cuyos porcentajes se ven muy reducidos (también es cierto que su renta mediana y línea de pobreza son muy inferiores tanto a la mediana española como a la de las regiones más ricas que acabamos de nombrar), Castilla-La Mancha, Andalucía y Canarias.</w:t>
      </w:r>
    </w:p>
    <w:p w:rsidR="00715D9B" w:rsidRPr="002A1746" w:rsidRDefault="00715D9B" w:rsidP="00514A12">
      <w:pPr>
        <w:autoSpaceDE w:val="0"/>
        <w:autoSpaceDN w:val="0"/>
        <w:adjustRightInd w:val="0"/>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Gráfico 4: Tasa de Riesgo de Pobreza (%).</w:t>
      </w:r>
      <w:r w:rsidR="00421CBE">
        <w:rPr>
          <w:rFonts w:ascii="Times New Roman" w:hAnsi="Times New Roman" w:cs="Times New Roman"/>
          <w:sz w:val="24"/>
          <w:szCs w:val="24"/>
          <w:lang w:val="es-ES"/>
        </w:rPr>
        <w:t>Variables IDE e IDEI</w:t>
      </w:r>
      <w:r w:rsidR="00421CBE" w:rsidRPr="002A1746">
        <w:rPr>
          <w:rFonts w:ascii="Times New Roman" w:hAnsi="Times New Roman" w:cs="Times New Roman"/>
          <w:sz w:val="24"/>
          <w:szCs w:val="24"/>
          <w:lang w:val="es-ES"/>
        </w:rPr>
        <w:t>.</w:t>
      </w:r>
      <w:r w:rsidR="00421CBE">
        <w:rPr>
          <w:rFonts w:ascii="Times New Roman" w:hAnsi="Times New Roman" w:cs="Times New Roman"/>
          <w:sz w:val="24"/>
          <w:szCs w:val="24"/>
          <w:lang w:val="es-ES"/>
        </w:rPr>
        <w:t xml:space="preserve"> </w:t>
      </w:r>
      <w:r w:rsidR="00BA2739" w:rsidRPr="002A1746">
        <w:rPr>
          <w:rFonts w:ascii="Times New Roman" w:hAnsi="Times New Roman" w:cs="Times New Roman"/>
          <w:sz w:val="24"/>
          <w:szCs w:val="24"/>
          <w:lang w:val="es-ES"/>
        </w:rPr>
        <w:t>Líneas</w:t>
      </w:r>
      <w:r w:rsidR="00EA7D31">
        <w:rPr>
          <w:rFonts w:ascii="Times New Roman" w:hAnsi="Times New Roman" w:cs="Times New Roman"/>
          <w:sz w:val="24"/>
          <w:szCs w:val="24"/>
          <w:lang w:val="es-ES"/>
        </w:rPr>
        <w:t xml:space="preserve"> Regionales</w:t>
      </w:r>
    </w:p>
    <w:p w:rsidR="007051A4" w:rsidRPr="002A1746" w:rsidRDefault="00BA2739" w:rsidP="00AD37B1">
      <w:pPr>
        <w:keepNext/>
        <w:spacing w:before="120" w:after="120" w:line="360" w:lineRule="auto"/>
        <w:jc w:val="both"/>
        <w:rPr>
          <w:rFonts w:ascii="Times New Roman" w:hAnsi="Times New Roman" w:cs="Times New Roman"/>
          <w:sz w:val="24"/>
          <w:szCs w:val="24"/>
          <w:lang w:val="es-ES"/>
        </w:rPr>
      </w:pPr>
      <w:r>
        <w:rPr>
          <w:noProof/>
          <w:lang w:val="es-ES" w:eastAsia="es-ES"/>
        </w:rPr>
        <w:drawing>
          <wp:inline distT="0" distB="0" distL="0" distR="0" wp14:anchorId="73C16818" wp14:editId="5DC35528">
            <wp:extent cx="5400040" cy="2880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1892" w:rsidRPr="002A1746" w:rsidRDefault="00961892" w:rsidP="00961892">
      <w:pPr>
        <w:spacing w:before="120" w:after="120" w:line="360" w:lineRule="auto"/>
        <w:rPr>
          <w:rFonts w:ascii="Times New Roman" w:hAnsi="Times New Roman" w:cs="Times New Roman"/>
          <w:sz w:val="18"/>
          <w:szCs w:val="24"/>
          <w:lang w:val="es-ES"/>
        </w:rPr>
      </w:pPr>
      <w:r w:rsidRPr="002A1746">
        <w:rPr>
          <w:rFonts w:ascii="Times New Roman" w:hAnsi="Times New Roman" w:cs="Times New Roman"/>
          <w:sz w:val="18"/>
          <w:szCs w:val="24"/>
          <w:lang w:val="es-ES"/>
        </w:rPr>
        <w:t xml:space="preserve">Fuente: Elaboración propia con </w:t>
      </w:r>
      <w:proofErr w:type="spellStart"/>
      <w:r w:rsidRPr="002A1746">
        <w:rPr>
          <w:rFonts w:ascii="Times New Roman" w:hAnsi="Times New Roman" w:cs="Times New Roman"/>
          <w:sz w:val="18"/>
          <w:szCs w:val="24"/>
          <w:lang w:val="es-ES"/>
        </w:rPr>
        <w:t>microdatos</w:t>
      </w:r>
      <w:proofErr w:type="spellEnd"/>
      <w:r w:rsidRPr="002A1746">
        <w:rPr>
          <w:rFonts w:ascii="Times New Roman" w:hAnsi="Times New Roman" w:cs="Times New Roman"/>
          <w:sz w:val="18"/>
          <w:szCs w:val="24"/>
          <w:lang w:val="es-ES"/>
        </w:rPr>
        <w:t xml:space="preserve"> ECV-INE.</w:t>
      </w:r>
    </w:p>
    <w:p w:rsidR="000A4564" w:rsidRPr="002A1746" w:rsidRDefault="000A4564" w:rsidP="00AD37B1">
      <w:pPr>
        <w:keepNext/>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Como podemos observar hay patrones que se repiten, como es que Navarra siga presentando los menores porcent</w:t>
      </w:r>
      <w:r w:rsidR="00EA02E0" w:rsidRPr="002A1746">
        <w:rPr>
          <w:rFonts w:ascii="Times New Roman" w:hAnsi="Times New Roman" w:cs="Times New Roman"/>
          <w:sz w:val="24"/>
          <w:szCs w:val="24"/>
          <w:lang w:val="es-ES"/>
        </w:rPr>
        <w:t>ajes de pobreza (au</w:t>
      </w:r>
      <w:r w:rsidRPr="002A1746">
        <w:rPr>
          <w:rFonts w:ascii="Times New Roman" w:hAnsi="Times New Roman" w:cs="Times New Roman"/>
          <w:sz w:val="24"/>
          <w:szCs w:val="24"/>
          <w:lang w:val="es-ES"/>
        </w:rPr>
        <w:t>n siendo la región con mayor renta mediana</w:t>
      </w:r>
      <w:r w:rsidR="00EA02E0" w:rsidRPr="002A1746">
        <w:rPr>
          <w:rFonts w:ascii="Times New Roman" w:hAnsi="Times New Roman" w:cs="Times New Roman"/>
          <w:sz w:val="24"/>
          <w:szCs w:val="24"/>
          <w:lang w:val="es-ES"/>
        </w:rPr>
        <w:t>, que implica el umbral Lp3 más alto</w:t>
      </w:r>
      <w:r w:rsidRPr="002A1746">
        <w:rPr>
          <w:rFonts w:ascii="Times New Roman" w:hAnsi="Times New Roman" w:cs="Times New Roman"/>
          <w:sz w:val="24"/>
          <w:szCs w:val="24"/>
          <w:lang w:val="es-ES"/>
        </w:rPr>
        <w:t>)</w:t>
      </w:r>
      <w:r w:rsidR="00034EA6" w:rsidRPr="002A1746">
        <w:rPr>
          <w:rFonts w:ascii="Times New Roman" w:hAnsi="Times New Roman" w:cs="Times New Roman"/>
          <w:sz w:val="24"/>
          <w:szCs w:val="24"/>
          <w:lang w:val="es-ES"/>
        </w:rPr>
        <w:t>, seguida de Cantabria y Asturias que también presenta</w:t>
      </w:r>
      <w:r w:rsidR="00832AC9" w:rsidRPr="002A1746">
        <w:rPr>
          <w:rFonts w:ascii="Times New Roman" w:hAnsi="Times New Roman" w:cs="Times New Roman"/>
          <w:sz w:val="24"/>
          <w:szCs w:val="24"/>
          <w:lang w:val="es-ES"/>
        </w:rPr>
        <w:t>ba</w:t>
      </w:r>
      <w:r w:rsidR="00034EA6" w:rsidRPr="002A1746">
        <w:rPr>
          <w:rFonts w:ascii="Times New Roman" w:hAnsi="Times New Roman" w:cs="Times New Roman"/>
          <w:sz w:val="24"/>
          <w:szCs w:val="24"/>
          <w:lang w:val="es-ES"/>
        </w:rPr>
        <w:t>n bajos porcentajes con</w:t>
      </w:r>
      <w:r w:rsidR="00AB369D" w:rsidRPr="002A1746">
        <w:rPr>
          <w:rFonts w:ascii="Times New Roman" w:hAnsi="Times New Roman" w:cs="Times New Roman"/>
          <w:sz w:val="24"/>
          <w:szCs w:val="24"/>
          <w:lang w:val="es-ES"/>
        </w:rPr>
        <w:t xml:space="preserve"> los </w:t>
      </w:r>
      <w:r w:rsidR="00AB369D" w:rsidRPr="007846D3">
        <w:rPr>
          <w:rFonts w:ascii="Times New Roman" w:hAnsi="Times New Roman" w:cs="Times New Roman"/>
          <w:sz w:val="24"/>
          <w:szCs w:val="24"/>
          <w:lang w:val="es-ES"/>
        </w:rPr>
        <w:t>umbrales</w:t>
      </w:r>
      <w:r w:rsidR="00EA02E0" w:rsidRPr="007846D3">
        <w:rPr>
          <w:rFonts w:ascii="Times New Roman" w:hAnsi="Times New Roman" w:cs="Times New Roman"/>
          <w:sz w:val="24"/>
          <w:szCs w:val="24"/>
          <w:lang w:val="es-ES"/>
        </w:rPr>
        <w:t xml:space="preserve"> estatales</w:t>
      </w:r>
      <w:r w:rsidR="00F25EF8" w:rsidRPr="007846D3">
        <w:rPr>
          <w:rFonts w:ascii="Times New Roman" w:hAnsi="Times New Roman" w:cs="Times New Roman"/>
          <w:sz w:val="24"/>
          <w:szCs w:val="24"/>
          <w:lang w:val="es-ES"/>
        </w:rPr>
        <w:t>. L</w:t>
      </w:r>
      <w:r w:rsidR="00832AC9" w:rsidRPr="007846D3">
        <w:rPr>
          <w:rFonts w:ascii="Times New Roman" w:hAnsi="Times New Roman" w:cs="Times New Roman"/>
          <w:sz w:val="24"/>
          <w:szCs w:val="24"/>
          <w:lang w:val="es-ES"/>
        </w:rPr>
        <w:t>a ordenación</w:t>
      </w:r>
      <w:r w:rsidR="00832AC9" w:rsidRPr="002A1746">
        <w:rPr>
          <w:rFonts w:ascii="Times New Roman" w:hAnsi="Times New Roman" w:cs="Times New Roman"/>
          <w:sz w:val="24"/>
          <w:szCs w:val="24"/>
          <w:lang w:val="es-ES"/>
        </w:rPr>
        <w:t xml:space="preserve"> </w:t>
      </w:r>
      <w:r w:rsidR="00034EA6" w:rsidRPr="002A1746">
        <w:rPr>
          <w:rFonts w:ascii="Times New Roman" w:hAnsi="Times New Roman" w:cs="Times New Roman"/>
          <w:sz w:val="24"/>
          <w:szCs w:val="24"/>
          <w:lang w:val="es-ES"/>
        </w:rPr>
        <w:t>varía a lo largo del periodo, llegando en 2012 a ser Galicia, Castilla y León</w:t>
      </w:r>
      <w:r w:rsidR="00832AC9" w:rsidRPr="002A1746">
        <w:rPr>
          <w:rFonts w:ascii="Times New Roman" w:hAnsi="Times New Roman" w:cs="Times New Roman"/>
          <w:sz w:val="24"/>
          <w:szCs w:val="24"/>
          <w:lang w:val="es-ES"/>
        </w:rPr>
        <w:t xml:space="preserve"> y País Vasco</w:t>
      </w:r>
      <w:r w:rsidR="001C5FE1" w:rsidRPr="002A1746">
        <w:rPr>
          <w:rFonts w:ascii="Times New Roman" w:hAnsi="Times New Roman" w:cs="Times New Roman"/>
          <w:sz w:val="24"/>
          <w:szCs w:val="24"/>
          <w:lang w:val="es-ES"/>
        </w:rPr>
        <w:t xml:space="preserve"> </w:t>
      </w:r>
      <w:r w:rsidR="00034EA6" w:rsidRPr="002A1746">
        <w:rPr>
          <w:rFonts w:ascii="Times New Roman" w:hAnsi="Times New Roman" w:cs="Times New Roman"/>
          <w:sz w:val="24"/>
          <w:szCs w:val="24"/>
          <w:lang w:val="es-ES"/>
        </w:rPr>
        <w:t xml:space="preserve">las que presentan los mejores indicadores. </w:t>
      </w:r>
      <w:r w:rsidR="00C41EAF" w:rsidRPr="002A1746">
        <w:rPr>
          <w:rFonts w:ascii="Times New Roman" w:hAnsi="Times New Roman" w:cs="Times New Roman"/>
          <w:sz w:val="24"/>
          <w:szCs w:val="24"/>
          <w:lang w:val="es-ES"/>
        </w:rPr>
        <w:t>Sin embargo, las peores posiciones no son ocupadas por las mismas comunidades que cuando se usan líneas estatales</w:t>
      </w:r>
      <w:r w:rsidR="00F25EF8" w:rsidRPr="002A1746">
        <w:rPr>
          <w:rFonts w:ascii="Times New Roman" w:hAnsi="Times New Roman" w:cs="Times New Roman"/>
          <w:sz w:val="24"/>
          <w:szCs w:val="24"/>
          <w:lang w:val="es-ES"/>
        </w:rPr>
        <w:t xml:space="preserve">, </w:t>
      </w:r>
      <w:r w:rsidR="00034EA6" w:rsidRPr="002A1746">
        <w:rPr>
          <w:rFonts w:ascii="Times New Roman" w:hAnsi="Times New Roman" w:cs="Times New Roman"/>
          <w:sz w:val="24"/>
          <w:szCs w:val="24"/>
          <w:lang w:val="es-ES"/>
        </w:rPr>
        <w:t xml:space="preserve">a excepción de la Región de Murcia. El </w:t>
      </w:r>
      <w:r w:rsidR="00C41EAF" w:rsidRPr="002A1746">
        <w:rPr>
          <w:rFonts w:ascii="Times New Roman" w:hAnsi="Times New Roman" w:cs="Times New Roman"/>
          <w:sz w:val="24"/>
          <w:szCs w:val="24"/>
          <w:lang w:val="es-ES"/>
        </w:rPr>
        <w:t>hecho de manej</w:t>
      </w:r>
      <w:r w:rsidR="00A73362" w:rsidRPr="002A1746">
        <w:rPr>
          <w:rFonts w:ascii="Times New Roman" w:hAnsi="Times New Roman" w:cs="Times New Roman"/>
          <w:sz w:val="24"/>
          <w:szCs w:val="24"/>
          <w:lang w:val="es-ES"/>
        </w:rPr>
        <w:t>ar líneas de pobreza regionales</w:t>
      </w:r>
      <w:r w:rsidR="00034EA6" w:rsidRPr="002A1746">
        <w:rPr>
          <w:rFonts w:ascii="Times New Roman" w:hAnsi="Times New Roman" w:cs="Times New Roman"/>
          <w:sz w:val="24"/>
          <w:szCs w:val="24"/>
          <w:lang w:val="es-ES"/>
        </w:rPr>
        <w:t xml:space="preserve"> hace que regiones con medianas muy bajas </w:t>
      </w:r>
      <w:r w:rsidR="00C41EAF" w:rsidRPr="002A1746">
        <w:rPr>
          <w:rFonts w:ascii="Times New Roman" w:hAnsi="Times New Roman" w:cs="Times New Roman"/>
          <w:sz w:val="24"/>
          <w:szCs w:val="24"/>
          <w:lang w:val="es-ES"/>
        </w:rPr>
        <w:t xml:space="preserve">(que implican </w:t>
      </w:r>
      <w:r w:rsidR="00170CFC" w:rsidRPr="002A1746">
        <w:rPr>
          <w:rFonts w:ascii="Times New Roman" w:hAnsi="Times New Roman" w:cs="Times New Roman"/>
          <w:sz w:val="24"/>
          <w:szCs w:val="24"/>
          <w:lang w:val="es-ES"/>
        </w:rPr>
        <w:t>umbrales de pobreza también bajo</w:t>
      </w:r>
      <w:r w:rsidR="00C41EAF" w:rsidRPr="002A1746">
        <w:rPr>
          <w:rFonts w:ascii="Times New Roman" w:hAnsi="Times New Roman" w:cs="Times New Roman"/>
          <w:sz w:val="24"/>
          <w:szCs w:val="24"/>
          <w:lang w:val="es-ES"/>
        </w:rPr>
        <w:t xml:space="preserve">s) </w:t>
      </w:r>
      <w:r w:rsidR="00034EA6" w:rsidRPr="002A1746">
        <w:rPr>
          <w:rFonts w:ascii="Times New Roman" w:hAnsi="Times New Roman" w:cs="Times New Roman"/>
          <w:sz w:val="24"/>
          <w:szCs w:val="24"/>
          <w:lang w:val="es-ES"/>
        </w:rPr>
        <w:t xml:space="preserve">presenten </w:t>
      </w:r>
      <w:r w:rsidR="00170CFC" w:rsidRPr="002A1746">
        <w:rPr>
          <w:rFonts w:ascii="Times New Roman" w:hAnsi="Times New Roman" w:cs="Times New Roman"/>
          <w:sz w:val="24"/>
          <w:szCs w:val="24"/>
          <w:lang w:val="es-ES"/>
        </w:rPr>
        <w:t>menores</w:t>
      </w:r>
      <w:r w:rsidR="00034EA6" w:rsidRPr="002A1746">
        <w:rPr>
          <w:rFonts w:ascii="Times New Roman" w:hAnsi="Times New Roman" w:cs="Times New Roman"/>
          <w:sz w:val="24"/>
          <w:szCs w:val="24"/>
          <w:lang w:val="es-ES"/>
        </w:rPr>
        <w:t xml:space="preserve"> </w:t>
      </w:r>
      <w:r w:rsidR="00F25EF8" w:rsidRPr="002A1746">
        <w:rPr>
          <w:rFonts w:ascii="Times New Roman" w:hAnsi="Times New Roman" w:cs="Times New Roman"/>
          <w:sz w:val="24"/>
          <w:szCs w:val="24"/>
          <w:lang w:val="es-ES"/>
        </w:rPr>
        <w:t>porcentajes de pobreza y ocupen una</w:t>
      </w:r>
      <w:r w:rsidR="00034EA6" w:rsidRPr="002A1746">
        <w:rPr>
          <w:rFonts w:ascii="Times New Roman" w:hAnsi="Times New Roman" w:cs="Times New Roman"/>
          <w:sz w:val="24"/>
          <w:szCs w:val="24"/>
          <w:lang w:val="es-ES"/>
        </w:rPr>
        <w:t xml:space="preserve"> posición relativa</w:t>
      </w:r>
      <w:r w:rsidR="00F25EF8" w:rsidRPr="002A1746">
        <w:rPr>
          <w:rFonts w:ascii="Times New Roman" w:hAnsi="Times New Roman" w:cs="Times New Roman"/>
          <w:sz w:val="24"/>
          <w:szCs w:val="24"/>
          <w:lang w:val="es-ES"/>
        </w:rPr>
        <w:t xml:space="preserve"> mejor</w:t>
      </w:r>
      <w:r w:rsidR="00170CFC" w:rsidRPr="002A1746">
        <w:rPr>
          <w:rFonts w:ascii="Times New Roman" w:hAnsi="Times New Roman" w:cs="Times New Roman"/>
          <w:sz w:val="24"/>
          <w:szCs w:val="24"/>
          <w:lang w:val="es-ES"/>
        </w:rPr>
        <w:t>,</w:t>
      </w:r>
      <w:r w:rsidR="00034EA6" w:rsidRPr="002A1746">
        <w:rPr>
          <w:rFonts w:ascii="Times New Roman" w:hAnsi="Times New Roman" w:cs="Times New Roman"/>
          <w:sz w:val="24"/>
          <w:szCs w:val="24"/>
          <w:lang w:val="es-ES"/>
        </w:rPr>
        <w:t xml:space="preserve"> como es el caso de Extremadura que</w:t>
      </w:r>
      <w:r w:rsidR="00AB369D" w:rsidRPr="002A1746">
        <w:rPr>
          <w:rFonts w:ascii="Times New Roman" w:hAnsi="Times New Roman" w:cs="Times New Roman"/>
          <w:sz w:val="24"/>
          <w:szCs w:val="24"/>
          <w:lang w:val="es-ES"/>
        </w:rPr>
        <w:t>,</w:t>
      </w:r>
      <w:r w:rsidR="00034EA6" w:rsidRPr="002A1746">
        <w:rPr>
          <w:rFonts w:ascii="Times New Roman" w:hAnsi="Times New Roman" w:cs="Times New Roman"/>
          <w:sz w:val="24"/>
          <w:szCs w:val="24"/>
          <w:lang w:val="es-ES"/>
        </w:rPr>
        <w:t xml:space="preserve"> a pesar de </w:t>
      </w:r>
      <w:r w:rsidR="00170CFC" w:rsidRPr="002A1746">
        <w:rPr>
          <w:rFonts w:ascii="Times New Roman" w:hAnsi="Times New Roman" w:cs="Times New Roman"/>
          <w:sz w:val="24"/>
          <w:szCs w:val="24"/>
          <w:lang w:val="es-ES"/>
        </w:rPr>
        <w:t>estar clasificada entre las más pobres según las líneas estata</w:t>
      </w:r>
      <w:r w:rsidR="00865D0C" w:rsidRPr="002A1746">
        <w:rPr>
          <w:rFonts w:ascii="Times New Roman" w:hAnsi="Times New Roman" w:cs="Times New Roman"/>
          <w:sz w:val="24"/>
          <w:szCs w:val="24"/>
          <w:lang w:val="es-ES"/>
        </w:rPr>
        <w:t>les</w:t>
      </w:r>
      <w:r w:rsidR="00034EA6" w:rsidRPr="002A1746">
        <w:rPr>
          <w:rFonts w:ascii="Times New Roman" w:hAnsi="Times New Roman" w:cs="Times New Roman"/>
          <w:sz w:val="24"/>
          <w:szCs w:val="24"/>
          <w:lang w:val="es-ES"/>
        </w:rPr>
        <w:t xml:space="preserve">, </w:t>
      </w:r>
      <w:r w:rsidR="00170CFC" w:rsidRPr="002A1746">
        <w:rPr>
          <w:rFonts w:ascii="Times New Roman" w:hAnsi="Times New Roman" w:cs="Times New Roman"/>
          <w:sz w:val="24"/>
          <w:szCs w:val="24"/>
          <w:lang w:val="es-ES"/>
        </w:rPr>
        <w:t>utilizando líneas regionales</w:t>
      </w:r>
      <w:r w:rsidR="00034EA6" w:rsidRPr="002A1746">
        <w:rPr>
          <w:rFonts w:ascii="Times New Roman" w:hAnsi="Times New Roman" w:cs="Times New Roman"/>
          <w:sz w:val="24"/>
          <w:szCs w:val="24"/>
          <w:lang w:val="es-ES"/>
        </w:rPr>
        <w:t xml:space="preserve"> </w:t>
      </w:r>
      <w:r w:rsidR="00393874" w:rsidRPr="002A1746">
        <w:rPr>
          <w:rFonts w:ascii="Times New Roman" w:hAnsi="Times New Roman" w:cs="Times New Roman"/>
          <w:sz w:val="24"/>
          <w:szCs w:val="24"/>
          <w:lang w:val="es-ES"/>
        </w:rPr>
        <w:t xml:space="preserve">mejora mucho su </w:t>
      </w:r>
      <w:r w:rsidR="00F25EF8" w:rsidRPr="002A1746">
        <w:rPr>
          <w:rFonts w:ascii="Times New Roman" w:hAnsi="Times New Roman" w:cs="Times New Roman"/>
          <w:sz w:val="24"/>
          <w:szCs w:val="24"/>
          <w:lang w:val="es-ES"/>
        </w:rPr>
        <w:t>ordenación</w:t>
      </w:r>
      <w:r w:rsidR="00034EA6" w:rsidRPr="002A1746">
        <w:rPr>
          <w:rFonts w:ascii="Times New Roman" w:hAnsi="Times New Roman" w:cs="Times New Roman"/>
          <w:sz w:val="24"/>
          <w:szCs w:val="24"/>
          <w:lang w:val="es-ES"/>
        </w:rPr>
        <w:t xml:space="preserve">. </w:t>
      </w:r>
      <w:r w:rsidR="00393874" w:rsidRPr="002A1746">
        <w:rPr>
          <w:rFonts w:ascii="Times New Roman" w:hAnsi="Times New Roman" w:cs="Times New Roman"/>
          <w:sz w:val="24"/>
          <w:szCs w:val="24"/>
          <w:lang w:val="es-ES"/>
        </w:rPr>
        <w:t xml:space="preserve">No </w:t>
      </w:r>
      <w:r w:rsidR="00393874" w:rsidRPr="002A1746">
        <w:rPr>
          <w:rFonts w:ascii="Times New Roman" w:hAnsi="Times New Roman" w:cs="Times New Roman"/>
          <w:sz w:val="24"/>
          <w:szCs w:val="24"/>
          <w:lang w:val="es-ES"/>
        </w:rPr>
        <w:lastRenderedPageBreak/>
        <w:t>obstante, se observa</w:t>
      </w:r>
      <w:r w:rsidR="00865D0C" w:rsidRPr="002A1746">
        <w:rPr>
          <w:rFonts w:ascii="Times New Roman" w:hAnsi="Times New Roman" w:cs="Times New Roman"/>
          <w:sz w:val="24"/>
          <w:szCs w:val="24"/>
          <w:lang w:val="es-ES"/>
        </w:rPr>
        <w:t xml:space="preserve"> </w:t>
      </w:r>
      <w:r w:rsidR="00034EA6" w:rsidRPr="002A1746">
        <w:rPr>
          <w:rFonts w:ascii="Times New Roman" w:hAnsi="Times New Roman" w:cs="Times New Roman"/>
          <w:sz w:val="24"/>
          <w:szCs w:val="24"/>
          <w:lang w:val="es-ES"/>
        </w:rPr>
        <w:t>mayor variabilidad</w:t>
      </w:r>
      <w:r w:rsidR="00393874" w:rsidRPr="002A1746">
        <w:rPr>
          <w:rFonts w:ascii="Times New Roman" w:hAnsi="Times New Roman" w:cs="Times New Roman"/>
          <w:sz w:val="24"/>
          <w:szCs w:val="24"/>
          <w:lang w:val="es-ES"/>
        </w:rPr>
        <w:t xml:space="preserve"> en la ordenación</w:t>
      </w:r>
      <w:r w:rsidR="00034EA6" w:rsidRPr="002A1746">
        <w:rPr>
          <w:rFonts w:ascii="Times New Roman" w:hAnsi="Times New Roman" w:cs="Times New Roman"/>
          <w:sz w:val="24"/>
          <w:szCs w:val="24"/>
          <w:lang w:val="es-ES"/>
        </w:rPr>
        <w:t xml:space="preserve"> a lo largo del periodo, en parte porque </w:t>
      </w:r>
      <w:r w:rsidR="00F25EF8" w:rsidRPr="002A1746">
        <w:rPr>
          <w:rFonts w:ascii="Times New Roman" w:hAnsi="Times New Roman" w:cs="Times New Roman"/>
          <w:sz w:val="24"/>
          <w:szCs w:val="24"/>
          <w:lang w:val="es-ES"/>
        </w:rPr>
        <w:t>las tasas de riesgo regionales difieren menos</w:t>
      </w:r>
      <w:r w:rsidR="00034EA6" w:rsidRPr="002A1746">
        <w:rPr>
          <w:rFonts w:ascii="Times New Roman" w:hAnsi="Times New Roman" w:cs="Times New Roman"/>
          <w:sz w:val="24"/>
          <w:szCs w:val="24"/>
          <w:lang w:val="es-ES"/>
        </w:rPr>
        <w:t xml:space="preserve"> y es más fácil que se intercambien posiciones con</w:t>
      </w:r>
      <w:r w:rsidR="00393874" w:rsidRPr="002A1746">
        <w:rPr>
          <w:rFonts w:ascii="Times New Roman" w:hAnsi="Times New Roman" w:cs="Times New Roman"/>
          <w:sz w:val="24"/>
          <w:szCs w:val="24"/>
          <w:lang w:val="es-ES"/>
        </w:rPr>
        <w:t xml:space="preserve"> </w:t>
      </w:r>
      <w:r w:rsidR="00AB369D" w:rsidRPr="002A1746">
        <w:rPr>
          <w:rFonts w:ascii="Times New Roman" w:hAnsi="Times New Roman" w:cs="Times New Roman"/>
          <w:sz w:val="24"/>
          <w:szCs w:val="24"/>
          <w:lang w:val="es-ES"/>
        </w:rPr>
        <w:t>leve</w:t>
      </w:r>
      <w:r w:rsidR="00393874" w:rsidRPr="002A1746">
        <w:rPr>
          <w:rFonts w:ascii="Times New Roman" w:hAnsi="Times New Roman" w:cs="Times New Roman"/>
          <w:sz w:val="24"/>
          <w:szCs w:val="24"/>
          <w:lang w:val="es-ES"/>
        </w:rPr>
        <w:t>s</w:t>
      </w:r>
      <w:r w:rsidR="00034EA6" w:rsidRPr="002A1746">
        <w:rPr>
          <w:rFonts w:ascii="Times New Roman" w:hAnsi="Times New Roman" w:cs="Times New Roman"/>
          <w:sz w:val="24"/>
          <w:szCs w:val="24"/>
          <w:lang w:val="es-ES"/>
        </w:rPr>
        <w:t xml:space="preserve"> modificaci</w:t>
      </w:r>
      <w:r w:rsidR="00393874" w:rsidRPr="002A1746">
        <w:rPr>
          <w:rFonts w:ascii="Times New Roman" w:hAnsi="Times New Roman" w:cs="Times New Roman"/>
          <w:sz w:val="24"/>
          <w:szCs w:val="24"/>
          <w:lang w:val="es-ES"/>
        </w:rPr>
        <w:t>o</w:t>
      </w:r>
      <w:r w:rsidR="00034EA6" w:rsidRPr="002A1746">
        <w:rPr>
          <w:rFonts w:ascii="Times New Roman" w:hAnsi="Times New Roman" w:cs="Times New Roman"/>
          <w:sz w:val="24"/>
          <w:szCs w:val="24"/>
          <w:lang w:val="es-ES"/>
        </w:rPr>
        <w:t>n</w:t>
      </w:r>
      <w:r w:rsidR="00393874" w:rsidRPr="002A1746">
        <w:rPr>
          <w:rFonts w:ascii="Times New Roman" w:hAnsi="Times New Roman" w:cs="Times New Roman"/>
          <w:sz w:val="24"/>
          <w:szCs w:val="24"/>
          <w:lang w:val="es-ES"/>
        </w:rPr>
        <w:t>es</w:t>
      </w:r>
      <w:r w:rsidR="00F25EF8" w:rsidRPr="002A1746">
        <w:rPr>
          <w:rFonts w:ascii="Times New Roman" w:hAnsi="Times New Roman" w:cs="Times New Roman"/>
          <w:sz w:val="24"/>
          <w:szCs w:val="24"/>
          <w:lang w:val="es-ES"/>
        </w:rPr>
        <w:t xml:space="preserve"> de las misma</w:t>
      </w:r>
      <w:r w:rsidR="00034EA6" w:rsidRPr="002A1746">
        <w:rPr>
          <w:rFonts w:ascii="Times New Roman" w:hAnsi="Times New Roman" w:cs="Times New Roman"/>
          <w:sz w:val="24"/>
          <w:szCs w:val="24"/>
          <w:lang w:val="es-ES"/>
        </w:rPr>
        <w:t xml:space="preserve">s. </w:t>
      </w:r>
      <w:r w:rsidR="00393874" w:rsidRPr="002A1746">
        <w:rPr>
          <w:rFonts w:ascii="Times New Roman" w:hAnsi="Times New Roman" w:cs="Times New Roman"/>
          <w:sz w:val="24"/>
          <w:szCs w:val="24"/>
          <w:lang w:val="es-ES"/>
        </w:rPr>
        <w:t xml:space="preserve">Así, por ejemplo, </w:t>
      </w:r>
      <w:r w:rsidR="00034EA6" w:rsidRPr="002A1746">
        <w:rPr>
          <w:rFonts w:ascii="Times New Roman" w:hAnsi="Times New Roman" w:cs="Times New Roman"/>
          <w:sz w:val="24"/>
          <w:szCs w:val="24"/>
          <w:lang w:val="es-ES"/>
        </w:rPr>
        <w:t>al principio del periodo</w:t>
      </w:r>
      <w:r w:rsidR="007D2FD0" w:rsidRPr="002A1746">
        <w:rPr>
          <w:rFonts w:ascii="Times New Roman" w:hAnsi="Times New Roman" w:cs="Times New Roman"/>
          <w:sz w:val="24"/>
          <w:szCs w:val="24"/>
          <w:lang w:val="es-ES"/>
        </w:rPr>
        <w:t xml:space="preserve"> las comunidades que presentan mayores niveles de pobreza son </w:t>
      </w:r>
      <w:r w:rsidR="00A537B5">
        <w:rPr>
          <w:rFonts w:ascii="Times New Roman" w:hAnsi="Times New Roman" w:cs="Times New Roman"/>
          <w:sz w:val="24"/>
          <w:szCs w:val="24"/>
          <w:lang w:val="es-ES"/>
        </w:rPr>
        <w:t>Madrid y La Rioja, junto con Murcia</w:t>
      </w:r>
      <w:r w:rsidR="00034EA6" w:rsidRPr="002A1746">
        <w:rPr>
          <w:rFonts w:ascii="Times New Roman" w:hAnsi="Times New Roman" w:cs="Times New Roman"/>
          <w:sz w:val="24"/>
          <w:szCs w:val="24"/>
          <w:lang w:val="es-ES"/>
        </w:rPr>
        <w:t xml:space="preserve">, </w:t>
      </w:r>
      <w:r w:rsidR="007D2FD0" w:rsidRPr="002A1746">
        <w:rPr>
          <w:rFonts w:ascii="Times New Roman" w:hAnsi="Times New Roman" w:cs="Times New Roman"/>
          <w:sz w:val="24"/>
          <w:szCs w:val="24"/>
          <w:lang w:val="es-ES"/>
        </w:rPr>
        <w:t>mientras que</w:t>
      </w:r>
      <w:r w:rsidR="00034EA6" w:rsidRPr="002A1746">
        <w:rPr>
          <w:rFonts w:ascii="Times New Roman" w:hAnsi="Times New Roman" w:cs="Times New Roman"/>
          <w:sz w:val="24"/>
          <w:szCs w:val="24"/>
          <w:lang w:val="es-ES"/>
        </w:rPr>
        <w:t xml:space="preserve"> en 2012 </w:t>
      </w:r>
      <w:r w:rsidR="007D2FD0" w:rsidRPr="002A1746">
        <w:rPr>
          <w:rFonts w:ascii="Times New Roman" w:hAnsi="Times New Roman" w:cs="Times New Roman"/>
          <w:sz w:val="24"/>
          <w:szCs w:val="24"/>
          <w:lang w:val="es-ES"/>
        </w:rPr>
        <w:t xml:space="preserve">esas peores posiciones las </w:t>
      </w:r>
      <w:r w:rsidR="00034EA6" w:rsidRPr="002A1746">
        <w:rPr>
          <w:rFonts w:ascii="Times New Roman" w:hAnsi="Times New Roman" w:cs="Times New Roman"/>
          <w:sz w:val="24"/>
          <w:szCs w:val="24"/>
          <w:lang w:val="es-ES"/>
        </w:rPr>
        <w:t xml:space="preserve">vuelven a </w:t>
      </w:r>
      <w:r w:rsidR="00970E5D" w:rsidRPr="002A1746">
        <w:rPr>
          <w:rFonts w:ascii="Times New Roman" w:hAnsi="Times New Roman" w:cs="Times New Roman"/>
          <w:sz w:val="24"/>
          <w:szCs w:val="24"/>
          <w:lang w:val="es-ES"/>
        </w:rPr>
        <w:t xml:space="preserve">ocupar </w:t>
      </w:r>
      <w:r w:rsidR="00034EA6" w:rsidRPr="002A1746">
        <w:rPr>
          <w:rFonts w:ascii="Times New Roman" w:hAnsi="Times New Roman" w:cs="Times New Roman"/>
          <w:sz w:val="24"/>
          <w:szCs w:val="24"/>
          <w:lang w:val="es-ES"/>
        </w:rPr>
        <w:t xml:space="preserve">regiones que ya manifestaban </w:t>
      </w:r>
      <w:r w:rsidR="007D2FD0" w:rsidRPr="002A1746">
        <w:rPr>
          <w:rFonts w:ascii="Times New Roman" w:hAnsi="Times New Roman" w:cs="Times New Roman"/>
          <w:sz w:val="24"/>
          <w:szCs w:val="24"/>
          <w:lang w:val="es-ES"/>
        </w:rPr>
        <w:t xml:space="preserve">altos niveles de pobreza según las líneas estatales </w:t>
      </w:r>
      <w:proofErr w:type="spellStart"/>
      <w:r w:rsidR="00865D0C" w:rsidRPr="002A1746">
        <w:rPr>
          <w:rFonts w:ascii="Times New Roman" w:hAnsi="Times New Roman" w:cs="Times New Roman"/>
          <w:sz w:val="24"/>
          <w:szCs w:val="24"/>
          <w:lang w:val="es-ES"/>
        </w:rPr>
        <w:t>Lp</w:t>
      </w:r>
      <w:proofErr w:type="spellEnd"/>
      <w:r w:rsidR="00865D0C" w:rsidRPr="002A1746">
        <w:rPr>
          <w:rFonts w:ascii="Times New Roman" w:hAnsi="Times New Roman" w:cs="Times New Roman"/>
          <w:sz w:val="24"/>
          <w:szCs w:val="24"/>
          <w:lang w:val="es-ES"/>
        </w:rPr>
        <w:t xml:space="preserve">, Lp1 y Lp2, </w:t>
      </w:r>
      <w:r w:rsidR="00095C70" w:rsidRPr="002A1746">
        <w:rPr>
          <w:rFonts w:ascii="Times New Roman" w:hAnsi="Times New Roman" w:cs="Times New Roman"/>
          <w:sz w:val="24"/>
          <w:szCs w:val="24"/>
          <w:lang w:val="es-ES"/>
        </w:rPr>
        <w:t>a e</w:t>
      </w:r>
      <w:r w:rsidR="007D2FD0" w:rsidRPr="002A1746">
        <w:rPr>
          <w:rFonts w:ascii="Times New Roman" w:hAnsi="Times New Roman" w:cs="Times New Roman"/>
          <w:sz w:val="24"/>
          <w:szCs w:val="24"/>
          <w:lang w:val="es-ES"/>
        </w:rPr>
        <w:t>xcepción de Extremadura</w:t>
      </w:r>
      <w:r w:rsidR="00970E5D" w:rsidRPr="002A1746">
        <w:rPr>
          <w:rFonts w:ascii="Times New Roman" w:hAnsi="Times New Roman" w:cs="Times New Roman"/>
          <w:sz w:val="24"/>
          <w:szCs w:val="24"/>
          <w:lang w:val="es-ES"/>
        </w:rPr>
        <w:t>.</w:t>
      </w:r>
    </w:p>
    <w:p w:rsidR="00970E5D" w:rsidRDefault="00C23B11" w:rsidP="00AD37B1">
      <w:pPr>
        <w:keepNext/>
        <w:spacing w:before="120" w:after="120" w:line="360" w:lineRule="auto"/>
        <w:jc w:val="both"/>
        <w:rPr>
          <w:rFonts w:ascii="Times New Roman" w:hAnsi="Times New Roman" w:cs="Times New Roman"/>
          <w:strike/>
          <w:sz w:val="24"/>
          <w:szCs w:val="24"/>
          <w:lang w:val="es-ES"/>
        </w:rPr>
      </w:pPr>
      <w:r w:rsidRPr="002A1746">
        <w:rPr>
          <w:rFonts w:ascii="Times New Roman" w:hAnsi="Times New Roman" w:cs="Times New Roman"/>
          <w:sz w:val="24"/>
          <w:szCs w:val="24"/>
          <w:lang w:val="es-ES"/>
        </w:rPr>
        <w:t>Cuando incluimos el alquiler imputado</w:t>
      </w:r>
      <w:r w:rsidR="007B25ED" w:rsidRPr="002A1746">
        <w:rPr>
          <w:rFonts w:ascii="Times New Roman" w:hAnsi="Times New Roman" w:cs="Times New Roman"/>
          <w:sz w:val="24"/>
          <w:szCs w:val="24"/>
          <w:lang w:val="es-ES"/>
        </w:rPr>
        <w:t>, las tasas de riesgo de pobreza disminuyen, al igual que ocurría con las líneas estatales, n</w:t>
      </w:r>
      <w:r w:rsidRPr="002A1746">
        <w:rPr>
          <w:rFonts w:ascii="Times New Roman" w:hAnsi="Times New Roman" w:cs="Times New Roman"/>
          <w:sz w:val="24"/>
          <w:szCs w:val="24"/>
          <w:lang w:val="es-ES"/>
        </w:rPr>
        <w:t>o var</w:t>
      </w:r>
      <w:r w:rsidR="007B25ED" w:rsidRPr="002A1746">
        <w:rPr>
          <w:rFonts w:ascii="Times New Roman" w:hAnsi="Times New Roman" w:cs="Times New Roman"/>
          <w:sz w:val="24"/>
          <w:szCs w:val="24"/>
          <w:lang w:val="es-ES"/>
        </w:rPr>
        <w:t>iando</w:t>
      </w:r>
      <w:r w:rsidRPr="002A1746">
        <w:rPr>
          <w:rFonts w:ascii="Times New Roman" w:hAnsi="Times New Roman" w:cs="Times New Roman"/>
          <w:sz w:val="24"/>
          <w:szCs w:val="24"/>
          <w:lang w:val="es-ES"/>
        </w:rPr>
        <w:t xml:space="preserve"> en demasía las posiciones de la</w:t>
      </w:r>
      <w:r w:rsidR="00AB369D" w:rsidRPr="002A1746">
        <w:rPr>
          <w:rFonts w:ascii="Times New Roman" w:hAnsi="Times New Roman" w:cs="Times New Roman"/>
          <w:sz w:val="24"/>
          <w:szCs w:val="24"/>
          <w:lang w:val="es-ES"/>
        </w:rPr>
        <w:t>s</w:t>
      </w:r>
      <w:r w:rsidR="007B25ED" w:rsidRPr="002A1746">
        <w:rPr>
          <w:rFonts w:ascii="Times New Roman" w:hAnsi="Times New Roman" w:cs="Times New Roman"/>
          <w:sz w:val="24"/>
          <w:szCs w:val="24"/>
          <w:lang w:val="es-ES"/>
        </w:rPr>
        <w:t xml:space="preserve"> regiones</w:t>
      </w:r>
      <w:r w:rsidR="007B25ED" w:rsidRPr="007846D3">
        <w:rPr>
          <w:rFonts w:ascii="Times New Roman" w:hAnsi="Times New Roman" w:cs="Times New Roman"/>
          <w:sz w:val="24"/>
          <w:szCs w:val="24"/>
          <w:lang w:val="es-ES"/>
        </w:rPr>
        <w:t>.</w:t>
      </w:r>
      <w:r w:rsidR="00970E5D" w:rsidRPr="007846D3">
        <w:rPr>
          <w:rFonts w:ascii="Times New Roman" w:hAnsi="Times New Roman" w:cs="Times New Roman"/>
          <w:sz w:val="24"/>
          <w:szCs w:val="24"/>
          <w:lang w:val="es-ES"/>
        </w:rPr>
        <w:t xml:space="preserve"> </w:t>
      </w:r>
    </w:p>
    <w:p w:rsidR="005F37B6" w:rsidRPr="002A1746" w:rsidRDefault="005F37B6" w:rsidP="00AD37B1">
      <w:pPr>
        <w:keepNext/>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Buscando comportamientos comunes en los resultados de todas o la mayoría de las líneas, Galicia, La Rioja y Castilla y León se presentan como las únicas comunidades que disminuyen sus porcentajes de pobreza aplicando las líneas regionales, presentando también el mejor comportamiento según las líneas estatales al ser las que sufren los menores incrementos.</w:t>
      </w:r>
      <w:r w:rsidR="00617B62">
        <w:rPr>
          <w:rFonts w:ascii="Times New Roman" w:hAnsi="Times New Roman" w:cs="Times New Roman"/>
          <w:sz w:val="24"/>
          <w:szCs w:val="24"/>
          <w:lang w:val="es-ES"/>
        </w:rPr>
        <w:t xml:space="preserve"> L</w:t>
      </w:r>
      <w:r w:rsidRPr="002A1746">
        <w:rPr>
          <w:rFonts w:ascii="Times New Roman" w:hAnsi="Times New Roman" w:cs="Times New Roman"/>
          <w:sz w:val="24"/>
          <w:szCs w:val="24"/>
          <w:lang w:val="es-ES"/>
        </w:rPr>
        <w:t xml:space="preserve">as regiones que más han empeorado también son </w:t>
      </w:r>
      <w:r>
        <w:rPr>
          <w:rFonts w:ascii="Times New Roman" w:hAnsi="Times New Roman" w:cs="Times New Roman"/>
          <w:sz w:val="24"/>
          <w:szCs w:val="24"/>
          <w:lang w:val="es-ES"/>
        </w:rPr>
        <w:t xml:space="preserve">en general </w:t>
      </w:r>
      <w:r w:rsidRPr="002A1746">
        <w:rPr>
          <w:rFonts w:ascii="Times New Roman" w:hAnsi="Times New Roman" w:cs="Times New Roman"/>
          <w:sz w:val="24"/>
          <w:szCs w:val="24"/>
          <w:lang w:val="es-ES"/>
        </w:rPr>
        <w:t>las mismas que lo hacían con las líneas estatales</w:t>
      </w:r>
      <w:r>
        <w:rPr>
          <w:rFonts w:ascii="Times New Roman" w:hAnsi="Times New Roman" w:cs="Times New Roman"/>
          <w:sz w:val="24"/>
          <w:szCs w:val="24"/>
          <w:lang w:val="es-ES"/>
        </w:rPr>
        <w:t>: Isla</w:t>
      </w:r>
      <w:r w:rsidRPr="002A1746">
        <w:rPr>
          <w:rFonts w:ascii="Times New Roman" w:hAnsi="Times New Roman" w:cs="Times New Roman"/>
          <w:sz w:val="24"/>
          <w:szCs w:val="24"/>
          <w:lang w:val="es-ES"/>
        </w:rPr>
        <w:t>s Balear</w:t>
      </w:r>
      <w:r>
        <w:rPr>
          <w:rFonts w:ascii="Times New Roman" w:hAnsi="Times New Roman" w:cs="Times New Roman"/>
          <w:sz w:val="24"/>
          <w:szCs w:val="24"/>
          <w:lang w:val="es-ES"/>
        </w:rPr>
        <w:t>e</w:t>
      </w:r>
      <w:r w:rsidRPr="002A1746">
        <w:rPr>
          <w:rFonts w:ascii="Times New Roman" w:hAnsi="Times New Roman" w:cs="Times New Roman"/>
          <w:sz w:val="24"/>
          <w:szCs w:val="24"/>
          <w:lang w:val="es-ES"/>
        </w:rPr>
        <w:t>s, Navarra y Cantabria</w:t>
      </w:r>
      <w:r w:rsidR="00617B62">
        <w:rPr>
          <w:rFonts w:ascii="Times New Roman" w:hAnsi="Times New Roman" w:cs="Times New Roman"/>
          <w:sz w:val="24"/>
          <w:szCs w:val="24"/>
          <w:lang w:val="es-ES"/>
        </w:rPr>
        <w:t xml:space="preserve"> las que más</w:t>
      </w:r>
      <w:r>
        <w:rPr>
          <w:rFonts w:ascii="Times New Roman" w:hAnsi="Times New Roman" w:cs="Times New Roman"/>
          <w:sz w:val="24"/>
          <w:szCs w:val="24"/>
          <w:lang w:val="es-ES"/>
        </w:rPr>
        <w:t xml:space="preserve">, seguidas </w:t>
      </w:r>
      <w:r w:rsidRPr="00135A41">
        <w:rPr>
          <w:rFonts w:ascii="Times New Roman" w:hAnsi="Times New Roman" w:cs="Times New Roman"/>
          <w:sz w:val="24"/>
          <w:szCs w:val="24"/>
          <w:lang w:val="es-ES"/>
        </w:rPr>
        <w:t>de Asturias, Aragón, Canarias, Castilla-La mancha</w:t>
      </w:r>
      <w:r w:rsidR="00617B62" w:rsidRPr="00135A41">
        <w:rPr>
          <w:rFonts w:ascii="Times New Roman" w:hAnsi="Times New Roman" w:cs="Times New Roman"/>
          <w:sz w:val="24"/>
          <w:szCs w:val="24"/>
          <w:lang w:val="es-ES"/>
        </w:rPr>
        <w:t>,</w:t>
      </w:r>
      <w:r w:rsidRPr="00135A41">
        <w:rPr>
          <w:rFonts w:ascii="Times New Roman" w:hAnsi="Times New Roman" w:cs="Times New Roman"/>
          <w:sz w:val="24"/>
          <w:szCs w:val="24"/>
          <w:lang w:val="es-ES"/>
        </w:rPr>
        <w:t xml:space="preserve"> Murcia</w:t>
      </w:r>
      <w:r w:rsidR="00617B62" w:rsidRPr="00135A41">
        <w:rPr>
          <w:rFonts w:ascii="Times New Roman" w:hAnsi="Times New Roman" w:cs="Times New Roman"/>
          <w:sz w:val="24"/>
          <w:szCs w:val="24"/>
          <w:lang w:val="es-ES"/>
        </w:rPr>
        <w:t xml:space="preserve">, y también </w:t>
      </w:r>
      <w:r w:rsidRPr="00135A41">
        <w:rPr>
          <w:rFonts w:ascii="Times New Roman" w:hAnsi="Times New Roman" w:cs="Times New Roman"/>
          <w:sz w:val="24"/>
          <w:szCs w:val="24"/>
          <w:lang w:val="es-ES"/>
        </w:rPr>
        <w:t>Cataluña, Comunidad Valenciana y País Vasco</w:t>
      </w:r>
      <w:r w:rsidR="00617B62" w:rsidRPr="00135A41">
        <w:rPr>
          <w:rFonts w:ascii="Times New Roman" w:hAnsi="Times New Roman" w:cs="Times New Roman"/>
          <w:sz w:val="24"/>
          <w:szCs w:val="24"/>
          <w:lang w:val="es-ES"/>
        </w:rPr>
        <w:t>.</w:t>
      </w:r>
    </w:p>
    <w:p w:rsidR="008161EE" w:rsidRPr="002A1746" w:rsidRDefault="008161EE" w:rsidP="00AD37B1">
      <w:pPr>
        <w:pStyle w:val="Prrafodelista"/>
        <w:numPr>
          <w:ilvl w:val="0"/>
          <w:numId w:val="1"/>
        </w:numPr>
        <w:spacing w:before="120" w:after="120" w:line="360" w:lineRule="auto"/>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t>CONCLUSIONES</w:t>
      </w:r>
    </w:p>
    <w:p w:rsidR="00DA350D" w:rsidRPr="00766EDD" w:rsidRDefault="00DC3EF4" w:rsidP="00AB369D">
      <w:pPr>
        <w:spacing w:before="120" w:after="120" w:line="360" w:lineRule="auto"/>
        <w:jc w:val="both"/>
        <w:rPr>
          <w:rFonts w:ascii="Times New Roman" w:hAnsi="Times New Roman" w:cs="Times New Roman"/>
          <w:sz w:val="24"/>
          <w:szCs w:val="24"/>
          <w:lang w:val="es-ES"/>
        </w:rPr>
      </w:pPr>
      <w:r w:rsidRPr="00766EDD">
        <w:rPr>
          <w:rFonts w:ascii="Times New Roman" w:hAnsi="Times New Roman" w:cs="Times New Roman"/>
          <w:sz w:val="24"/>
          <w:szCs w:val="24"/>
          <w:lang w:val="es-ES"/>
        </w:rPr>
        <w:t>En este trabajo planteamos una reflexión teórica sobre</w:t>
      </w:r>
      <w:r w:rsidR="004546B3" w:rsidRPr="00766EDD">
        <w:rPr>
          <w:rFonts w:ascii="Times New Roman" w:hAnsi="Times New Roman" w:cs="Times New Roman"/>
          <w:sz w:val="24"/>
          <w:szCs w:val="24"/>
          <w:lang w:val="es-ES"/>
        </w:rPr>
        <w:t xml:space="preserve"> </w:t>
      </w:r>
      <w:r w:rsidRPr="00766EDD">
        <w:rPr>
          <w:rFonts w:ascii="Times New Roman" w:hAnsi="Times New Roman" w:cs="Times New Roman"/>
          <w:sz w:val="24"/>
          <w:szCs w:val="24"/>
          <w:lang w:val="es-ES"/>
        </w:rPr>
        <w:t>la</w:t>
      </w:r>
      <w:r w:rsidR="000A3215" w:rsidRPr="00766EDD">
        <w:rPr>
          <w:rFonts w:ascii="Times New Roman" w:hAnsi="Times New Roman" w:cs="Times New Roman"/>
          <w:sz w:val="24"/>
          <w:szCs w:val="24"/>
          <w:lang w:val="es-ES"/>
        </w:rPr>
        <w:t xml:space="preserve">s técnicas más </w:t>
      </w:r>
      <w:r w:rsidRPr="00766EDD">
        <w:rPr>
          <w:rFonts w:ascii="Times New Roman" w:hAnsi="Times New Roman" w:cs="Times New Roman"/>
          <w:sz w:val="24"/>
          <w:szCs w:val="24"/>
          <w:lang w:val="es-ES"/>
        </w:rPr>
        <w:t>habitual</w:t>
      </w:r>
      <w:r w:rsidR="000A3215" w:rsidRPr="00766EDD">
        <w:rPr>
          <w:rFonts w:ascii="Times New Roman" w:hAnsi="Times New Roman" w:cs="Times New Roman"/>
          <w:sz w:val="24"/>
          <w:szCs w:val="24"/>
          <w:lang w:val="es-ES"/>
        </w:rPr>
        <w:t>es</w:t>
      </w:r>
      <w:r w:rsidRPr="00766EDD">
        <w:rPr>
          <w:rFonts w:ascii="Times New Roman" w:hAnsi="Times New Roman" w:cs="Times New Roman"/>
          <w:sz w:val="24"/>
          <w:szCs w:val="24"/>
          <w:lang w:val="es-ES"/>
        </w:rPr>
        <w:t xml:space="preserve"> de medición de la pobreza</w:t>
      </w:r>
      <w:r w:rsidR="000A3215" w:rsidRPr="00766EDD">
        <w:rPr>
          <w:rFonts w:ascii="Times New Roman" w:hAnsi="Times New Roman" w:cs="Times New Roman"/>
          <w:sz w:val="24"/>
          <w:szCs w:val="24"/>
          <w:lang w:val="es-ES"/>
        </w:rPr>
        <w:t xml:space="preserve">, proponiendo el debate sobre la necesidad de utilizar líneas de pobreza </w:t>
      </w:r>
      <w:r w:rsidR="004546B3" w:rsidRPr="00766EDD">
        <w:rPr>
          <w:rFonts w:ascii="Times New Roman" w:hAnsi="Times New Roman" w:cs="Times New Roman"/>
          <w:sz w:val="24"/>
          <w:szCs w:val="24"/>
          <w:lang w:val="es-ES"/>
        </w:rPr>
        <w:t xml:space="preserve">no estrictamente relativas, </w:t>
      </w:r>
      <w:r w:rsidR="000A3215" w:rsidRPr="00766EDD">
        <w:rPr>
          <w:rFonts w:ascii="Times New Roman" w:hAnsi="Times New Roman" w:cs="Times New Roman"/>
          <w:sz w:val="24"/>
          <w:szCs w:val="24"/>
          <w:lang w:val="es-ES"/>
        </w:rPr>
        <w:t xml:space="preserve">sensibles al empeoramiento generalizado de la población, así como variables de renta que reflejen el poder adquisitivo </w:t>
      </w:r>
      <w:r w:rsidR="004546B3" w:rsidRPr="00766EDD">
        <w:rPr>
          <w:rFonts w:ascii="Times New Roman" w:hAnsi="Times New Roman" w:cs="Times New Roman"/>
          <w:sz w:val="24"/>
          <w:szCs w:val="24"/>
          <w:lang w:val="es-ES"/>
        </w:rPr>
        <w:t xml:space="preserve">de las personas </w:t>
      </w:r>
      <w:r w:rsidR="000A3215" w:rsidRPr="00766EDD">
        <w:rPr>
          <w:rFonts w:ascii="Times New Roman" w:hAnsi="Times New Roman" w:cs="Times New Roman"/>
          <w:sz w:val="24"/>
          <w:szCs w:val="24"/>
          <w:lang w:val="es-ES"/>
        </w:rPr>
        <w:t xml:space="preserve">(rentas deflactadas y en paridades). </w:t>
      </w:r>
      <w:r w:rsidR="00E116D3" w:rsidRPr="00766EDD">
        <w:rPr>
          <w:rFonts w:ascii="Times New Roman" w:hAnsi="Times New Roman" w:cs="Times New Roman"/>
          <w:sz w:val="24"/>
          <w:szCs w:val="24"/>
          <w:lang w:val="es-ES"/>
        </w:rPr>
        <w:t>Con el objeto de medir los incrementos de pobreza que se han producido en estos tiempos de crisis, n</w:t>
      </w:r>
      <w:r w:rsidR="004546B3" w:rsidRPr="00766EDD">
        <w:rPr>
          <w:rFonts w:ascii="Times New Roman" w:hAnsi="Times New Roman" w:cs="Times New Roman"/>
          <w:sz w:val="24"/>
          <w:szCs w:val="24"/>
          <w:lang w:val="es-ES"/>
        </w:rPr>
        <w:t>uestra</w:t>
      </w:r>
      <w:r w:rsidRPr="00766EDD">
        <w:rPr>
          <w:rFonts w:ascii="Times New Roman" w:hAnsi="Times New Roman" w:cs="Times New Roman"/>
          <w:sz w:val="24"/>
          <w:szCs w:val="24"/>
          <w:lang w:val="es-ES"/>
        </w:rPr>
        <w:t xml:space="preserve"> propuesta </w:t>
      </w:r>
      <w:r w:rsidR="00766EDD" w:rsidRPr="00766EDD">
        <w:rPr>
          <w:rFonts w:ascii="Times New Roman" w:hAnsi="Times New Roman" w:cs="Times New Roman"/>
          <w:sz w:val="24"/>
          <w:szCs w:val="24"/>
          <w:lang w:val="es-ES"/>
        </w:rPr>
        <w:t xml:space="preserve">ha sido </w:t>
      </w:r>
      <w:r w:rsidR="00E116D3" w:rsidRPr="00766EDD">
        <w:rPr>
          <w:rFonts w:ascii="Times New Roman" w:hAnsi="Times New Roman" w:cs="Times New Roman"/>
          <w:sz w:val="24"/>
          <w:szCs w:val="24"/>
          <w:lang w:val="es-ES"/>
        </w:rPr>
        <w:t>anclar la línea de pobreza en 2008</w:t>
      </w:r>
      <w:r w:rsidRPr="00766EDD">
        <w:rPr>
          <w:rFonts w:ascii="Times New Roman" w:hAnsi="Times New Roman" w:cs="Times New Roman"/>
          <w:sz w:val="24"/>
          <w:szCs w:val="24"/>
          <w:lang w:val="es-ES"/>
        </w:rPr>
        <w:t xml:space="preserve"> y homogeneizar (espacial y temporalmente) las rentas en su poder adquisitivo</w:t>
      </w:r>
      <w:r w:rsidR="00E116D3" w:rsidRPr="00766EDD">
        <w:rPr>
          <w:rFonts w:ascii="Times New Roman" w:hAnsi="Times New Roman" w:cs="Times New Roman"/>
          <w:sz w:val="24"/>
          <w:szCs w:val="24"/>
          <w:lang w:val="es-ES"/>
        </w:rPr>
        <w:t>.</w:t>
      </w:r>
    </w:p>
    <w:p w:rsidR="008D4AB0" w:rsidRPr="002A1746" w:rsidRDefault="004546B3" w:rsidP="00AB369D">
      <w:pPr>
        <w:spacing w:before="120" w:after="120" w:line="360" w:lineRule="auto"/>
        <w:jc w:val="both"/>
        <w:rPr>
          <w:rFonts w:ascii="Times New Roman" w:hAnsi="Times New Roman" w:cs="Times New Roman"/>
          <w:sz w:val="24"/>
          <w:szCs w:val="24"/>
          <w:lang w:val="es-ES"/>
        </w:rPr>
      </w:pPr>
      <w:r w:rsidRPr="00766EDD">
        <w:rPr>
          <w:rFonts w:ascii="Times New Roman" w:hAnsi="Times New Roman" w:cs="Times New Roman"/>
          <w:sz w:val="24"/>
          <w:szCs w:val="24"/>
          <w:lang w:val="es-ES"/>
        </w:rPr>
        <w:t xml:space="preserve">Construimos paridades de poder </w:t>
      </w:r>
      <w:r w:rsidR="008D4AB0" w:rsidRPr="00766EDD">
        <w:rPr>
          <w:rFonts w:ascii="Times New Roman" w:hAnsi="Times New Roman" w:cs="Times New Roman"/>
          <w:sz w:val="24"/>
          <w:szCs w:val="24"/>
          <w:lang w:val="es-ES"/>
        </w:rPr>
        <w:t>adquisitivo</w:t>
      </w:r>
      <w:r w:rsidRPr="00766EDD">
        <w:rPr>
          <w:rFonts w:ascii="Times New Roman" w:hAnsi="Times New Roman" w:cs="Times New Roman"/>
          <w:sz w:val="24"/>
          <w:szCs w:val="24"/>
          <w:lang w:val="es-ES"/>
        </w:rPr>
        <w:t xml:space="preserve"> (PPA) </w:t>
      </w:r>
      <w:r w:rsidR="0047469C" w:rsidRPr="00766EDD">
        <w:rPr>
          <w:rFonts w:ascii="Times New Roman" w:hAnsi="Times New Roman" w:cs="Times New Roman"/>
          <w:sz w:val="24"/>
          <w:szCs w:val="24"/>
          <w:lang w:val="es-ES"/>
        </w:rPr>
        <w:t xml:space="preserve">para las regiones españolas actualizando las elaboradas en 1989 (López y </w:t>
      </w:r>
      <w:proofErr w:type="spellStart"/>
      <w:r w:rsidR="0047469C" w:rsidRPr="00766EDD">
        <w:rPr>
          <w:rFonts w:ascii="Times New Roman" w:hAnsi="Times New Roman" w:cs="Times New Roman"/>
          <w:sz w:val="24"/>
          <w:szCs w:val="24"/>
          <w:lang w:val="es-ES"/>
        </w:rPr>
        <w:t>Padró</w:t>
      </w:r>
      <w:proofErr w:type="spellEnd"/>
      <w:r w:rsidR="0047469C" w:rsidRPr="00766EDD">
        <w:rPr>
          <w:rFonts w:ascii="Times New Roman" w:hAnsi="Times New Roman" w:cs="Times New Roman"/>
          <w:sz w:val="24"/>
          <w:szCs w:val="24"/>
          <w:lang w:val="es-ES"/>
        </w:rPr>
        <w:t xml:space="preserve">, 2000) a partir de una encuesta especial de precios regionales a través de la evolución de los correspondientes IPC regionales respecto al estatal. </w:t>
      </w:r>
      <w:r w:rsidR="00665A83" w:rsidRPr="00766EDD">
        <w:rPr>
          <w:rFonts w:ascii="Times New Roman" w:hAnsi="Times New Roman" w:cs="Times New Roman"/>
          <w:sz w:val="24"/>
          <w:szCs w:val="24"/>
          <w:lang w:val="es-ES"/>
        </w:rPr>
        <w:t xml:space="preserve">Los resultados </w:t>
      </w:r>
      <w:r w:rsidR="008D4AB0" w:rsidRPr="00766EDD">
        <w:rPr>
          <w:rFonts w:ascii="Times New Roman" w:hAnsi="Times New Roman" w:cs="Times New Roman"/>
          <w:sz w:val="24"/>
          <w:szCs w:val="24"/>
          <w:lang w:val="es-ES"/>
        </w:rPr>
        <w:t xml:space="preserve">de </w:t>
      </w:r>
      <w:r w:rsidR="00665A83" w:rsidRPr="00766EDD">
        <w:rPr>
          <w:rFonts w:ascii="Times New Roman" w:hAnsi="Times New Roman" w:cs="Times New Roman"/>
          <w:sz w:val="24"/>
          <w:szCs w:val="24"/>
          <w:lang w:val="es-ES"/>
        </w:rPr>
        <w:t>esta</w:t>
      </w:r>
      <w:r w:rsidR="008D4AB0" w:rsidRPr="00766EDD">
        <w:rPr>
          <w:rFonts w:ascii="Times New Roman" w:hAnsi="Times New Roman" w:cs="Times New Roman"/>
          <w:sz w:val="24"/>
          <w:szCs w:val="24"/>
          <w:lang w:val="es-ES"/>
        </w:rPr>
        <w:t xml:space="preserve">s PPA presentan una alta concordancia con los obtenidos por otros autores, manteniéndose relativamente estables </w:t>
      </w:r>
      <w:r w:rsidR="008D4AB0" w:rsidRPr="00766EDD">
        <w:rPr>
          <w:rFonts w:ascii="Times New Roman" w:hAnsi="Times New Roman" w:cs="Times New Roman"/>
          <w:sz w:val="24"/>
          <w:szCs w:val="24"/>
          <w:lang w:val="es-ES"/>
        </w:rPr>
        <w:lastRenderedPageBreak/>
        <w:t>en el tiempo. Extremadura es la región donde llenar la cesta de la compra resulta más barato (cerca de un 14%) mientras que Navarra es la más cara (alrededor de un 13%).</w:t>
      </w:r>
      <w:r w:rsidR="008D4AB0" w:rsidRPr="002A1746">
        <w:rPr>
          <w:rFonts w:ascii="Times New Roman" w:hAnsi="Times New Roman" w:cs="Times New Roman"/>
          <w:sz w:val="24"/>
          <w:szCs w:val="24"/>
          <w:lang w:val="es-ES"/>
        </w:rPr>
        <w:t xml:space="preserve"> </w:t>
      </w:r>
    </w:p>
    <w:p w:rsidR="00665366" w:rsidRPr="002A1746" w:rsidRDefault="00F53667" w:rsidP="00AB369D">
      <w:pPr>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 xml:space="preserve">Al igual que muestran otras publicaciones, </w:t>
      </w:r>
      <w:r w:rsidR="00766EDD">
        <w:rPr>
          <w:rFonts w:ascii="Times New Roman" w:hAnsi="Times New Roman" w:cs="Times New Roman"/>
          <w:sz w:val="24"/>
          <w:szCs w:val="24"/>
          <w:lang w:val="es-ES"/>
        </w:rPr>
        <w:t>el análisis</w:t>
      </w:r>
      <w:r w:rsidRPr="002A1746">
        <w:rPr>
          <w:rFonts w:ascii="Times New Roman" w:hAnsi="Times New Roman" w:cs="Times New Roman"/>
          <w:sz w:val="24"/>
          <w:szCs w:val="24"/>
          <w:lang w:val="es-ES"/>
        </w:rPr>
        <w:t xml:space="preserve"> empírico nos permite afirmar que se ha producido un incremento de la tasa de riesgo de pobreza </w:t>
      </w:r>
      <w:r w:rsidR="00766EDD">
        <w:rPr>
          <w:rFonts w:ascii="Times New Roman" w:hAnsi="Times New Roman" w:cs="Times New Roman"/>
          <w:sz w:val="24"/>
          <w:szCs w:val="24"/>
          <w:lang w:val="es-ES"/>
        </w:rPr>
        <w:t xml:space="preserve"> </w:t>
      </w:r>
      <w:r w:rsidR="00425527" w:rsidRPr="002A1746">
        <w:rPr>
          <w:rFonts w:ascii="Times New Roman" w:hAnsi="Times New Roman" w:cs="Times New Roman"/>
          <w:sz w:val="24"/>
          <w:szCs w:val="24"/>
          <w:lang w:val="es-ES"/>
        </w:rPr>
        <w:t xml:space="preserve">sobre todo a partir del año 2009 (rentas de 2008) en el que la crisis empieza a notarse con más fuerza, independientemente de la </w:t>
      </w:r>
      <w:r w:rsidR="00187979" w:rsidRPr="002A1746">
        <w:rPr>
          <w:rFonts w:ascii="Times New Roman" w:hAnsi="Times New Roman" w:cs="Times New Roman"/>
          <w:sz w:val="24"/>
          <w:szCs w:val="24"/>
          <w:lang w:val="es-ES"/>
        </w:rPr>
        <w:t>línea de pobreza que manejemos</w:t>
      </w:r>
      <w:r w:rsidR="00766EDD">
        <w:rPr>
          <w:rFonts w:ascii="Times New Roman" w:hAnsi="Times New Roman" w:cs="Times New Roman"/>
          <w:sz w:val="24"/>
          <w:szCs w:val="24"/>
          <w:lang w:val="es-ES"/>
        </w:rPr>
        <w:t>.</w:t>
      </w:r>
    </w:p>
    <w:p w:rsidR="007C0D83" w:rsidRPr="002A1746" w:rsidRDefault="00F53667" w:rsidP="00AB369D">
      <w:pPr>
        <w:spacing w:before="120" w:after="120" w:line="360" w:lineRule="auto"/>
        <w:jc w:val="both"/>
        <w:rPr>
          <w:rFonts w:ascii="Times New Roman" w:hAnsi="Times New Roman" w:cs="Times New Roman"/>
          <w:strike/>
          <w:sz w:val="24"/>
          <w:szCs w:val="24"/>
          <w:lang w:val="es-ES"/>
        </w:rPr>
      </w:pPr>
      <w:r w:rsidRPr="002A1746">
        <w:rPr>
          <w:rFonts w:ascii="Times New Roman" w:hAnsi="Times New Roman" w:cs="Times New Roman"/>
          <w:sz w:val="24"/>
          <w:szCs w:val="24"/>
          <w:lang w:val="es-ES"/>
        </w:rPr>
        <w:t>El análisis de sensibilidad al umbral de pobreza elegido nos muestra que</w:t>
      </w:r>
      <w:r w:rsidR="00903782" w:rsidRPr="002A1746">
        <w:rPr>
          <w:rFonts w:ascii="Times New Roman" w:hAnsi="Times New Roman" w:cs="Times New Roman"/>
          <w:sz w:val="24"/>
          <w:szCs w:val="24"/>
          <w:lang w:val="es-ES"/>
        </w:rPr>
        <w:t>, en períodos de decrecimiento,</w:t>
      </w:r>
      <w:r w:rsidRPr="002A1746">
        <w:rPr>
          <w:rFonts w:ascii="Times New Roman" w:hAnsi="Times New Roman" w:cs="Times New Roman"/>
          <w:sz w:val="24"/>
          <w:szCs w:val="24"/>
          <w:lang w:val="es-ES"/>
        </w:rPr>
        <w:t xml:space="preserve"> la definición </w:t>
      </w:r>
      <w:r w:rsidR="00425527" w:rsidRPr="002A1746">
        <w:rPr>
          <w:rFonts w:ascii="Times New Roman" w:hAnsi="Times New Roman" w:cs="Times New Roman"/>
          <w:sz w:val="24"/>
          <w:szCs w:val="24"/>
          <w:lang w:val="es-ES"/>
        </w:rPr>
        <w:t>tradicional</w:t>
      </w:r>
      <w:r w:rsidRPr="002A1746">
        <w:rPr>
          <w:rFonts w:ascii="Times New Roman" w:hAnsi="Times New Roman" w:cs="Times New Roman"/>
          <w:sz w:val="24"/>
          <w:szCs w:val="24"/>
          <w:lang w:val="es-ES"/>
        </w:rPr>
        <w:t xml:space="preserve"> de línea de pobreza </w:t>
      </w:r>
      <w:r w:rsidR="00425527" w:rsidRPr="002A1746">
        <w:rPr>
          <w:rFonts w:ascii="Times New Roman" w:hAnsi="Times New Roman" w:cs="Times New Roman"/>
          <w:sz w:val="24"/>
          <w:szCs w:val="24"/>
          <w:lang w:val="es-ES"/>
        </w:rPr>
        <w:t>(</w:t>
      </w:r>
      <w:proofErr w:type="spellStart"/>
      <w:r w:rsidR="00425527" w:rsidRPr="002A1746">
        <w:rPr>
          <w:rFonts w:ascii="Times New Roman" w:hAnsi="Times New Roman" w:cs="Times New Roman"/>
          <w:sz w:val="24"/>
          <w:szCs w:val="24"/>
          <w:lang w:val="es-ES"/>
        </w:rPr>
        <w:t>Lp</w:t>
      </w:r>
      <w:proofErr w:type="spellEnd"/>
      <w:r w:rsidR="00425527" w:rsidRPr="002A1746">
        <w:rPr>
          <w:rFonts w:ascii="Times New Roman" w:hAnsi="Times New Roman" w:cs="Times New Roman"/>
          <w:sz w:val="24"/>
          <w:szCs w:val="24"/>
          <w:lang w:val="es-ES"/>
        </w:rPr>
        <w:t xml:space="preserve">) </w:t>
      </w:r>
      <w:r w:rsidRPr="002A1746">
        <w:rPr>
          <w:rFonts w:ascii="Times New Roman" w:hAnsi="Times New Roman" w:cs="Times New Roman"/>
          <w:sz w:val="24"/>
          <w:szCs w:val="24"/>
          <w:lang w:val="es-ES"/>
        </w:rPr>
        <w:t xml:space="preserve">proporciona resultados de pobreza </w:t>
      </w:r>
      <w:r w:rsidR="00903782" w:rsidRPr="002A1746">
        <w:rPr>
          <w:rFonts w:ascii="Times New Roman" w:hAnsi="Times New Roman" w:cs="Times New Roman"/>
          <w:sz w:val="24"/>
          <w:szCs w:val="24"/>
          <w:lang w:val="es-ES"/>
        </w:rPr>
        <w:t>in</w:t>
      </w:r>
      <w:r w:rsidR="00425527" w:rsidRPr="002A1746">
        <w:rPr>
          <w:rFonts w:ascii="Times New Roman" w:hAnsi="Times New Roman" w:cs="Times New Roman"/>
          <w:sz w:val="24"/>
          <w:szCs w:val="24"/>
          <w:lang w:val="es-ES"/>
        </w:rPr>
        <w:t>sensibl</w:t>
      </w:r>
      <w:r w:rsidR="00665366" w:rsidRPr="002A1746">
        <w:rPr>
          <w:rFonts w:ascii="Times New Roman" w:hAnsi="Times New Roman" w:cs="Times New Roman"/>
          <w:sz w:val="24"/>
          <w:szCs w:val="24"/>
          <w:lang w:val="es-ES"/>
        </w:rPr>
        <w:t>e</w:t>
      </w:r>
      <w:r w:rsidR="00903782" w:rsidRPr="002A1746">
        <w:rPr>
          <w:rFonts w:ascii="Times New Roman" w:hAnsi="Times New Roman" w:cs="Times New Roman"/>
          <w:sz w:val="24"/>
          <w:szCs w:val="24"/>
          <w:lang w:val="es-ES"/>
        </w:rPr>
        <w:t>s</w:t>
      </w:r>
      <w:r w:rsidR="00665366" w:rsidRPr="002A1746">
        <w:rPr>
          <w:rFonts w:ascii="Times New Roman" w:hAnsi="Times New Roman" w:cs="Times New Roman"/>
          <w:sz w:val="24"/>
          <w:szCs w:val="24"/>
          <w:lang w:val="es-ES"/>
        </w:rPr>
        <w:t xml:space="preserve"> a la evolución real de la economía ya que</w:t>
      </w:r>
      <w:r w:rsidRPr="002A1746">
        <w:rPr>
          <w:rFonts w:ascii="Times New Roman" w:hAnsi="Times New Roman" w:cs="Times New Roman"/>
          <w:sz w:val="24"/>
          <w:szCs w:val="24"/>
          <w:lang w:val="es-ES"/>
        </w:rPr>
        <w:t xml:space="preserve">, por su definición estrictamente relativa, </w:t>
      </w:r>
      <w:r w:rsidR="00665366" w:rsidRPr="002A1746">
        <w:rPr>
          <w:rFonts w:ascii="Times New Roman" w:hAnsi="Times New Roman" w:cs="Times New Roman"/>
          <w:sz w:val="24"/>
          <w:szCs w:val="24"/>
          <w:lang w:val="es-ES"/>
        </w:rPr>
        <w:t xml:space="preserve">se reajusta </w:t>
      </w:r>
      <w:r w:rsidR="00903782" w:rsidRPr="002A1746">
        <w:rPr>
          <w:rFonts w:ascii="Times New Roman" w:hAnsi="Times New Roman" w:cs="Times New Roman"/>
          <w:sz w:val="24"/>
          <w:szCs w:val="24"/>
          <w:lang w:val="es-ES"/>
        </w:rPr>
        <w:t xml:space="preserve">automáticamente </w:t>
      </w:r>
      <w:r w:rsidR="00665366" w:rsidRPr="002A1746">
        <w:rPr>
          <w:rFonts w:ascii="Times New Roman" w:hAnsi="Times New Roman" w:cs="Times New Roman"/>
          <w:sz w:val="24"/>
          <w:szCs w:val="24"/>
          <w:lang w:val="es-ES"/>
        </w:rPr>
        <w:t xml:space="preserve">con los cambios en la mediana de los ingresos. </w:t>
      </w:r>
      <w:r w:rsidR="005B09D0" w:rsidRPr="002A1746">
        <w:rPr>
          <w:rFonts w:ascii="Times New Roman" w:hAnsi="Times New Roman" w:cs="Times New Roman"/>
          <w:sz w:val="24"/>
          <w:szCs w:val="24"/>
          <w:lang w:val="es-ES"/>
        </w:rPr>
        <w:t xml:space="preserve">Tomando como línea de pobreza durante todo el período la definida para el año 2008 (Lp1), los resultados </w:t>
      </w:r>
      <w:r w:rsidR="00665366" w:rsidRPr="002A1746">
        <w:rPr>
          <w:rFonts w:ascii="Times New Roman" w:hAnsi="Times New Roman" w:cs="Times New Roman"/>
          <w:sz w:val="24"/>
          <w:szCs w:val="24"/>
          <w:lang w:val="es-ES"/>
        </w:rPr>
        <w:t>muestra</w:t>
      </w:r>
      <w:r w:rsidR="005B09D0" w:rsidRPr="002A1746">
        <w:rPr>
          <w:rFonts w:ascii="Times New Roman" w:hAnsi="Times New Roman" w:cs="Times New Roman"/>
          <w:sz w:val="24"/>
          <w:szCs w:val="24"/>
          <w:lang w:val="es-ES"/>
        </w:rPr>
        <w:t>n</w:t>
      </w:r>
      <w:r w:rsidR="00665366" w:rsidRPr="002A1746">
        <w:rPr>
          <w:rFonts w:ascii="Times New Roman" w:hAnsi="Times New Roman" w:cs="Times New Roman"/>
          <w:sz w:val="24"/>
          <w:szCs w:val="24"/>
          <w:lang w:val="es-ES"/>
        </w:rPr>
        <w:t xml:space="preserve"> un comportamiento más variable tanto en los descensos de pobreza como, y sobre todo, en los incrementos que se dan hacia el final del período. </w:t>
      </w:r>
      <w:r w:rsidR="005B09D0" w:rsidRPr="002A1746">
        <w:rPr>
          <w:rFonts w:ascii="Times New Roman" w:hAnsi="Times New Roman" w:cs="Times New Roman"/>
          <w:sz w:val="24"/>
          <w:szCs w:val="24"/>
          <w:lang w:val="es-ES"/>
        </w:rPr>
        <w:t>Por su parte, usando una línea con un poder adquisitivo constante en el espacio y en el tiempo (</w:t>
      </w:r>
      <w:r w:rsidR="00665366" w:rsidRPr="002A1746">
        <w:rPr>
          <w:rFonts w:ascii="Times New Roman" w:hAnsi="Times New Roman" w:cs="Times New Roman"/>
          <w:sz w:val="24"/>
          <w:szCs w:val="24"/>
          <w:lang w:val="es-ES"/>
        </w:rPr>
        <w:t>Lp2</w:t>
      </w:r>
      <w:r w:rsidR="005B09D0" w:rsidRPr="002A1746">
        <w:rPr>
          <w:rFonts w:ascii="Times New Roman" w:hAnsi="Times New Roman" w:cs="Times New Roman"/>
          <w:sz w:val="24"/>
          <w:szCs w:val="24"/>
          <w:lang w:val="es-ES"/>
        </w:rPr>
        <w:t xml:space="preserve">), </w:t>
      </w:r>
      <w:r w:rsidR="00CE75CE" w:rsidRPr="002A1746">
        <w:rPr>
          <w:rFonts w:ascii="Times New Roman" w:hAnsi="Times New Roman" w:cs="Times New Roman"/>
          <w:sz w:val="24"/>
          <w:szCs w:val="24"/>
          <w:lang w:val="es-ES"/>
        </w:rPr>
        <w:t xml:space="preserve">observamos un continuo incremento de la proporción de personas en riesgo de pobreza a lo largo del período analizado, mucho más fuerte del que nos indica la línea tradicional que es la empleada por los organismos oficiales (INE, EUROSTAT). </w:t>
      </w:r>
      <w:r w:rsidR="00FB2D88" w:rsidRPr="002A1746">
        <w:rPr>
          <w:rFonts w:ascii="Times New Roman" w:hAnsi="Times New Roman" w:cs="Times New Roman"/>
          <w:sz w:val="24"/>
          <w:szCs w:val="24"/>
          <w:lang w:val="es-ES"/>
        </w:rPr>
        <w:t>Aplicando líneas regionales (</w:t>
      </w:r>
      <w:r w:rsidR="007C0D83" w:rsidRPr="002A1746">
        <w:rPr>
          <w:rFonts w:ascii="Times New Roman" w:hAnsi="Times New Roman" w:cs="Times New Roman"/>
          <w:sz w:val="24"/>
          <w:szCs w:val="24"/>
          <w:lang w:val="es-ES"/>
        </w:rPr>
        <w:t>Lp3</w:t>
      </w:r>
      <w:r w:rsidR="00FB2D88" w:rsidRPr="002A1746">
        <w:rPr>
          <w:rFonts w:ascii="Times New Roman" w:hAnsi="Times New Roman" w:cs="Times New Roman"/>
          <w:sz w:val="24"/>
          <w:szCs w:val="24"/>
          <w:lang w:val="es-ES"/>
        </w:rPr>
        <w:t xml:space="preserve">) </w:t>
      </w:r>
      <w:r w:rsidR="007C0D83" w:rsidRPr="002A1746">
        <w:rPr>
          <w:rFonts w:ascii="Times New Roman" w:hAnsi="Times New Roman" w:cs="Times New Roman"/>
          <w:sz w:val="24"/>
          <w:szCs w:val="24"/>
          <w:lang w:val="es-ES"/>
        </w:rPr>
        <w:t xml:space="preserve"> toma</w:t>
      </w:r>
      <w:r w:rsidR="00FB2D88" w:rsidRPr="002A1746">
        <w:rPr>
          <w:rFonts w:ascii="Times New Roman" w:hAnsi="Times New Roman" w:cs="Times New Roman"/>
          <w:sz w:val="24"/>
          <w:szCs w:val="24"/>
          <w:lang w:val="es-ES"/>
        </w:rPr>
        <w:t xml:space="preserve">ndo como sociedad de </w:t>
      </w:r>
      <w:r w:rsidR="007C0D83" w:rsidRPr="002A1746">
        <w:rPr>
          <w:rFonts w:ascii="Times New Roman" w:hAnsi="Times New Roman" w:cs="Times New Roman"/>
          <w:sz w:val="24"/>
          <w:szCs w:val="24"/>
          <w:lang w:val="es-ES"/>
        </w:rPr>
        <w:t>referencia</w:t>
      </w:r>
      <w:r w:rsidR="00FB2D88" w:rsidRPr="002A1746">
        <w:rPr>
          <w:rFonts w:ascii="Times New Roman" w:hAnsi="Times New Roman" w:cs="Times New Roman"/>
          <w:sz w:val="24"/>
          <w:szCs w:val="24"/>
          <w:lang w:val="es-ES"/>
        </w:rPr>
        <w:t xml:space="preserve"> la de las comunidades autónomas y no la del conjunto estatal, los por</w:t>
      </w:r>
      <w:r w:rsidR="001C5FE1" w:rsidRPr="002A1746">
        <w:rPr>
          <w:rFonts w:ascii="Times New Roman" w:hAnsi="Times New Roman" w:cs="Times New Roman"/>
          <w:sz w:val="24"/>
          <w:szCs w:val="24"/>
          <w:lang w:val="es-ES"/>
        </w:rPr>
        <w:t xml:space="preserve">centajes de pobreza son menores. </w:t>
      </w:r>
      <w:r w:rsidR="007C0D83" w:rsidRPr="002A1746">
        <w:rPr>
          <w:rFonts w:ascii="Times New Roman" w:hAnsi="Times New Roman" w:cs="Times New Roman"/>
          <w:sz w:val="24"/>
          <w:szCs w:val="24"/>
          <w:lang w:val="es-ES"/>
        </w:rPr>
        <w:t>Al tener en cuenta el alquiler imputado y autoconsumo/</w:t>
      </w:r>
      <w:proofErr w:type="spellStart"/>
      <w:r w:rsidR="007C0D83" w:rsidRPr="002A1746">
        <w:rPr>
          <w:rFonts w:ascii="Times New Roman" w:hAnsi="Times New Roman" w:cs="Times New Roman"/>
          <w:sz w:val="24"/>
          <w:szCs w:val="24"/>
          <w:lang w:val="es-ES"/>
        </w:rPr>
        <w:t>autosuministro</w:t>
      </w:r>
      <w:proofErr w:type="spellEnd"/>
      <w:r w:rsidR="007C0D83" w:rsidRPr="002A1746">
        <w:rPr>
          <w:rFonts w:ascii="Times New Roman" w:hAnsi="Times New Roman" w:cs="Times New Roman"/>
          <w:sz w:val="24"/>
          <w:szCs w:val="24"/>
          <w:lang w:val="es-ES"/>
        </w:rPr>
        <w:t xml:space="preserve"> los porcentajes </w:t>
      </w:r>
      <w:r w:rsidR="0090466F">
        <w:rPr>
          <w:rFonts w:ascii="Times New Roman" w:hAnsi="Times New Roman" w:cs="Times New Roman"/>
          <w:sz w:val="24"/>
          <w:szCs w:val="24"/>
          <w:lang w:val="es-ES"/>
        </w:rPr>
        <w:t>de pobreza</w:t>
      </w:r>
      <w:r w:rsidR="007C0D83" w:rsidRPr="002A1746">
        <w:rPr>
          <w:rFonts w:ascii="Times New Roman" w:hAnsi="Times New Roman" w:cs="Times New Roman"/>
          <w:sz w:val="24"/>
          <w:szCs w:val="24"/>
          <w:lang w:val="es-ES"/>
        </w:rPr>
        <w:t xml:space="preserve"> descienden entre 3 y 4 puntos porcentuales. </w:t>
      </w:r>
    </w:p>
    <w:p w:rsidR="004B189E" w:rsidRPr="002A1746" w:rsidRDefault="004B189E" w:rsidP="004B189E">
      <w:pPr>
        <w:spacing w:before="120" w:after="120" w:line="360" w:lineRule="auto"/>
        <w:jc w:val="both"/>
        <w:rPr>
          <w:rFonts w:ascii="Times New Roman" w:hAnsi="Times New Roman" w:cs="Times New Roman"/>
          <w:sz w:val="24"/>
          <w:szCs w:val="24"/>
          <w:lang w:val="es-ES"/>
        </w:rPr>
      </w:pPr>
      <w:r w:rsidRPr="002A1746">
        <w:rPr>
          <w:rFonts w:ascii="Times New Roman" w:hAnsi="Times New Roman" w:cs="Times New Roman"/>
          <w:sz w:val="24"/>
          <w:szCs w:val="24"/>
          <w:lang w:val="es-ES"/>
        </w:rPr>
        <w:t>Con umbrales estatales, las regiones que manifiestan</w:t>
      </w:r>
      <w:r w:rsidR="0090466F">
        <w:rPr>
          <w:rFonts w:ascii="Times New Roman" w:hAnsi="Times New Roman" w:cs="Times New Roman"/>
          <w:sz w:val="24"/>
          <w:szCs w:val="24"/>
          <w:lang w:val="es-ES"/>
        </w:rPr>
        <w:t xml:space="preserve"> </w:t>
      </w:r>
      <w:r w:rsidRPr="002A1746">
        <w:rPr>
          <w:rFonts w:ascii="Times New Roman" w:hAnsi="Times New Roman" w:cs="Times New Roman"/>
          <w:sz w:val="24"/>
          <w:szCs w:val="24"/>
          <w:lang w:val="es-ES"/>
        </w:rPr>
        <w:t>unos menores índices de pobreza son Navarra y el País Vasco y las que ocupan las peores posiciones son Extremadura, Andalucía, Castilla-La Mancha, Canarias y Murcia.</w:t>
      </w:r>
      <w:r w:rsidR="001C5FE1" w:rsidRPr="002A1746">
        <w:rPr>
          <w:rFonts w:ascii="Times New Roman" w:hAnsi="Times New Roman" w:cs="Times New Roman"/>
          <w:sz w:val="24"/>
          <w:szCs w:val="24"/>
          <w:lang w:val="es-ES"/>
        </w:rPr>
        <w:t xml:space="preserve"> </w:t>
      </w:r>
      <w:r w:rsidRPr="002A1746">
        <w:rPr>
          <w:rFonts w:ascii="Times New Roman" w:hAnsi="Times New Roman" w:cs="Times New Roman"/>
          <w:sz w:val="24"/>
          <w:szCs w:val="24"/>
          <w:lang w:val="es-ES"/>
        </w:rPr>
        <w:t>El mejor comportamiento a lo largo del período lo presentan Castilla y León, Galicia, La Rioja y Extremadura</w:t>
      </w:r>
      <w:r w:rsidR="00EC418B" w:rsidRPr="002A1746">
        <w:rPr>
          <w:rFonts w:ascii="Times New Roman" w:hAnsi="Times New Roman" w:cs="Times New Roman"/>
          <w:sz w:val="24"/>
          <w:szCs w:val="24"/>
          <w:lang w:val="es-ES"/>
        </w:rPr>
        <w:t>, bien reduciendo la pobreza bajo</w:t>
      </w:r>
      <w:r w:rsidRPr="002A1746">
        <w:rPr>
          <w:rFonts w:ascii="Times New Roman" w:hAnsi="Times New Roman" w:cs="Times New Roman"/>
          <w:sz w:val="24"/>
          <w:szCs w:val="24"/>
          <w:lang w:val="es-ES"/>
        </w:rPr>
        <w:t xml:space="preserve"> </w:t>
      </w:r>
      <w:proofErr w:type="spellStart"/>
      <w:r w:rsidRPr="002A1746">
        <w:rPr>
          <w:rFonts w:ascii="Times New Roman" w:hAnsi="Times New Roman" w:cs="Times New Roman"/>
          <w:sz w:val="24"/>
          <w:szCs w:val="24"/>
          <w:lang w:val="es-ES"/>
        </w:rPr>
        <w:t>Lp</w:t>
      </w:r>
      <w:proofErr w:type="spellEnd"/>
      <w:r w:rsidRPr="002A1746">
        <w:rPr>
          <w:rFonts w:ascii="Times New Roman" w:hAnsi="Times New Roman" w:cs="Times New Roman"/>
          <w:sz w:val="24"/>
          <w:szCs w:val="24"/>
          <w:lang w:val="es-ES"/>
        </w:rPr>
        <w:t xml:space="preserve"> y Lp1</w:t>
      </w:r>
      <w:r w:rsidR="00EC418B" w:rsidRPr="002A1746">
        <w:rPr>
          <w:rFonts w:ascii="Times New Roman" w:hAnsi="Times New Roman" w:cs="Times New Roman"/>
          <w:sz w:val="24"/>
          <w:szCs w:val="24"/>
          <w:lang w:val="es-ES"/>
        </w:rPr>
        <w:t>,</w:t>
      </w:r>
      <w:r w:rsidRPr="002A1746">
        <w:rPr>
          <w:rFonts w:ascii="Times New Roman" w:hAnsi="Times New Roman" w:cs="Times New Roman"/>
          <w:sz w:val="24"/>
          <w:szCs w:val="24"/>
          <w:lang w:val="es-ES"/>
        </w:rPr>
        <w:t xml:space="preserve"> o </w:t>
      </w:r>
      <w:r w:rsidR="00EC418B" w:rsidRPr="002A1746">
        <w:rPr>
          <w:rFonts w:ascii="Times New Roman" w:hAnsi="Times New Roman" w:cs="Times New Roman"/>
          <w:sz w:val="24"/>
          <w:szCs w:val="24"/>
          <w:lang w:val="es-ES"/>
        </w:rPr>
        <w:t xml:space="preserve">incrementándola en menor medida bajo </w:t>
      </w:r>
      <w:r w:rsidRPr="002A1746">
        <w:rPr>
          <w:rFonts w:ascii="Times New Roman" w:hAnsi="Times New Roman" w:cs="Times New Roman"/>
          <w:sz w:val="24"/>
          <w:szCs w:val="24"/>
          <w:lang w:val="es-ES"/>
        </w:rPr>
        <w:t>Lp2. Por el contrario, Cantabria, Navarra e I</w:t>
      </w:r>
      <w:r w:rsidR="007846D3">
        <w:rPr>
          <w:rFonts w:ascii="Times New Roman" w:hAnsi="Times New Roman" w:cs="Times New Roman"/>
          <w:sz w:val="24"/>
          <w:szCs w:val="24"/>
          <w:lang w:val="es-ES"/>
        </w:rPr>
        <w:t>slas</w:t>
      </w:r>
      <w:r w:rsidRPr="002A1746">
        <w:rPr>
          <w:rFonts w:ascii="Times New Roman" w:hAnsi="Times New Roman" w:cs="Times New Roman"/>
          <w:sz w:val="24"/>
          <w:szCs w:val="24"/>
          <w:lang w:val="es-ES"/>
        </w:rPr>
        <w:t xml:space="preserve"> Balear</w:t>
      </w:r>
      <w:r w:rsidR="007846D3">
        <w:rPr>
          <w:rFonts w:ascii="Times New Roman" w:hAnsi="Times New Roman" w:cs="Times New Roman"/>
          <w:sz w:val="24"/>
          <w:szCs w:val="24"/>
          <w:lang w:val="es-ES"/>
        </w:rPr>
        <w:t>e</w:t>
      </w:r>
      <w:r w:rsidRPr="002A1746">
        <w:rPr>
          <w:rFonts w:ascii="Times New Roman" w:hAnsi="Times New Roman" w:cs="Times New Roman"/>
          <w:sz w:val="24"/>
          <w:szCs w:val="24"/>
          <w:lang w:val="es-ES"/>
        </w:rPr>
        <w:t>s son las que presentan un peor comportamiento, aunque las dos primeras parten de las mejores posiciones en cuanto a porcentajes de pobreza del estado español.</w:t>
      </w:r>
      <w:r w:rsidR="00303918" w:rsidRPr="002A1746">
        <w:rPr>
          <w:rFonts w:ascii="Times New Roman" w:hAnsi="Times New Roman" w:cs="Times New Roman"/>
          <w:sz w:val="24"/>
          <w:szCs w:val="24"/>
          <w:lang w:val="es-ES"/>
        </w:rPr>
        <w:t xml:space="preserve"> </w:t>
      </w:r>
      <w:r w:rsidR="00EC418B" w:rsidRPr="002A1746">
        <w:rPr>
          <w:rFonts w:ascii="Times New Roman" w:hAnsi="Times New Roman" w:cs="Times New Roman"/>
          <w:sz w:val="24"/>
          <w:szCs w:val="24"/>
          <w:lang w:val="es-ES"/>
        </w:rPr>
        <w:t>La inclusión de</w:t>
      </w:r>
      <w:r w:rsidRPr="002A1746">
        <w:rPr>
          <w:rFonts w:ascii="Times New Roman" w:hAnsi="Times New Roman" w:cs="Times New Roman"/>
          <w:sz w:val="24"/>
          <w:szCs w:val="24"/>
          <w:lang w:val="es-ES"/>
        </w:rPr>
        <w:t>l alquiler imputado hace mejo</w:t>
      </w:r>
      <w:r w:rsidR="00EC418B" w:rsidRPr="002A1746">
        <w:rPr>
          <w:rFonts w:ascii="Times New Roman" w:hAnsi="Times New Roman" w:cs="Times New Roman"/>
          <w:sz w:val="24"/>
          <w:szCs w:val="24"/>
          <w:lang w:val="es-ES"/>
        </w:rPr>
        <w:t>rar todos los indicadores (con l</w:t>
      </w:r>
      <w:r w:rsidRPr="002A1746">
        <w:rPr>
          <w:rFonts w:ascii="Times New Roman" w:hAnsi="Times New Roman" w:cs="Times New Roman"/>
          <w:sz w:val="24"/>
          <w:szCs w:val="24"/>
          <w:lang w:val="es-ES"/>
        </w:rPr>
        <w:t xml:space="preserve">a excepción de Navarra </w:t>
      </w:r>
      <w:r w:rsidR="00EC418B" w:rsidRPr="002A1746">
        <w:rPr>
          <w:rFonts w:ascii="Times New Roman" w:hAnsi="Times New Roman" w:cs="Times New Roman"/>
          <w:sz w:val="24"/>
          <w:szCs w:val="24"/>
          <w:lang w:val="es-ES"/>
        </w:rPr>
        <w:t>bajo</w:t>
      </w:r>
      <w:r w:rsidRPr="002A1746">
        <w:rPr>
          <w:rFonts w:ascii="Times New Roman" w:hAnsi="Times New Roman" w:cs="Times New Roman"/>
          <w:sz w:val="24"/>
          <w:szCs w:val="24"/>
          <w:lang w:val="es-ES"/>
        </w:rPr>
        <w:t xml:space="preserve"> Lp2</w:t>
      </w:r>
      <w:r w:rsidR="00EC418B" w:rsidRPr="002A1746">
        <w:rPr>
          <w:rFonts w:ascii="Times New Roman" w:hAnsi="Times New Roman" w:cs="Times New Roman"/>
          <w:sz w:val="24"/>
          <w:szCs w:val="24"/>
          <w:lang w:val="es-ES"/>
        </w:rPr>
        <w:t xml:space="preserve">, lo </w:t>
      </w:r>
      <w:r w:rsidRPr="002A1746">
        <w:rPr>
          <w:rFonts w:ascii="Times New Roman" w:hAnsi="Times New Roman" w:cs="Times New Roman"/>
          <w:sz w:val="24"/>
          <w:szCs w:val="24"/>
          <w:lang w:val="es-ES"/>
        </w:rPr>
        <w:t xml:space="preserve">que </w:t>
      </w:r>
      <w:r w:rsidR="00EC418B" w:rsidRPr="002A1746">
        <w:rPr>
          <w:rFonts w:ascii="Times New Roman" w:hAnsi="Times New Roman" w:cs="Times New Roman"/>
          <w:sz w:val="24"/>
          <w:szCs w:val="24"/>
          <w:lang w:val="es-ES"/>
        </w:rPr>
        <w:t xml:space="preserve">podría </w:t>
      </w:r>
      <w:r w:rsidRPr="002A1746">
        <w:rPr>
          <w:rFonts w:ascii="Times New Roman" w:hAnsi="Times New Roman" w:cs="Times New Roman"/>
          <w:sz w:val="24"/>
          <w:szCs w:val="24"/>
          <w:lang w:val="es-ES"/>
        </w:rPr>
        <w:t>estar relacionado con unos menores porcentajes de vivienda en propiedad)</w:t>
      </w:r>
      <w:r w:rsidR="000C1B92" w:rsidRPr="002A1746">
        <w:rPr>
          <w:rFonts w:ascii="Times New Roman" w:hAnsi="Times New Roman" w:cs="Times New Roman"/>
          <w:sz w:val="24"/>
          <w:szCs w:val="24"/>
          <w:lang w:val="es-ES"/>
        </w:rPr>
        <w:t>, mejorando más</w:t>
      </w:r>
      <w:r w:rsidRPr="002A1746">
        <w:rPr>
          <w:rFonts w:ascii="Times New Roman" w:hAnsi="Times New Roman" w:cs="Times New Roman"/>
          <w:sz w:val="24"/>
          <w:szCs w:val="24"/>
          <w:lang w:val="es-ES"/>
        </w:rPr>
        <w:t xml:space="preserve"> las regiones</w:t>
      </w:r>
      <w:r w:rsidR="000C1B92" w:rsidRPr="002A1746">
        <w:rPr>
          <w:rFonts w:ascii="Times New Roman" w:hAnsi="Times New Roman" w:cs="Times New Roman"/>
          <w:sz w:val="24"/>
          <w:szCs w:val="24"/>
          <w:lang w:val="es-ES"/>
        </w:rPr>
        <w:t xml:space="preserve"> </w:t>
      </w:r>
      <w:r w:rsidRPr="002A1746">
        <w:rPr>
          <w:rFonts w:ascii="Times New Roman" w:hAnsi="Times New Roman" w:cs="Times New Roman"/>
          <w:sz w:val="24"/>
          <w:szCs w:val="24"/>
          <w:lang w:val="es-ES"/>
        </w:rPr>
        <w:t xml:space="preserve">que manifestaban una pobreza más elevada. </w:t>
      </w:r>
      <w:r w:rsidR="000C1B92" w:rsidRPr="002A1746">
        <w:rPr>
          <w:rFonts w:ascii="Times New Roman" w:hAnsi="Times New Roman" w:cs="Times New Roman"/>
          <w:sz w:val="24"/>
          <w:szCs w:val="24"/>
          <w:lang w:val="es-ES"/>
        </w:rPr>
        <w:t xml:space="preserve">Las regiones con mejor </w:t>
      </w:r>
      <w:r w:rsidR="000C1B92" w:rsidRPr="002A1746">
        <w:rPr>
          <w:rFonts w:ascii="Times New Roman" w:hAnsi="Times New Roman" w:cs="Times New Roman"/>
          <w:sz w:val="24"/>
          <w:szCs w:val="24"/>
          <w:lang w:val="es-ES"/>
        </w:rPr>
        <w:lastRenderedPageBreak/>
        <w:t xml:space="preserve">comportamiento en el período han sido nuevamente Castilla y León y Galicia, mientras que </w:t>
      </w:r>
      <w:r w:rsidRPr="002A1746">
        <w:rPr>
          <w:rFonts w:ascii="Times New Roman" w:hAnsi="Times New Roman" w:cs="Times New Roman"/>
          <w:sz w:val="24"/>
          <w:szCs w:val="24"/>
          <w:lang w:val="es-ES"/>
        </w:rPr>
        <w:t>las que más han empeorado, llegando a más que duplicar sus tasas,  son Navarra y Aragón</w:t>
      </w:r>
      <w:r w:rsidR="007C2900" w:rsidRPr="002A1746">
        <w:rPr>
          <w:rFonts w:ascii="Times New Roman" w:hAnsi="Times New Roman" w:cs="Times New Roman"/>
          <w:sz w:val="24"/>
          <w:szCs w:val="24"/>
          <w:lang w:val="es-ES"/>
        </w:rPr>
        <w:t>.</w:t>
      </w:r>
    </w:p>
    <w:p w:rsidR="0081148C" w:rsidRPr="002A1746" w:rsidRDefault="002E3F4E" w:rsidP="002E3F4E">
      <w:pPr>
        <w:spacing w:before="120" w:after="120" w:line="360" w:lineRule="auto"/>
        <w:jc w:val="both"/>
        <w:rPr>
          <w:rFonts w:ascii="Times New Roman" w:hAnsi="Times New Roman" w:cs="Times New Roman"/>
          <w:sz w:val="24"/>
          <w:szCs w:val="24"/>
          <w:lang w:val="es-ES"/>
        </w:rPr>
      </w:pPr>
      <w:r w:rsidRPr="00E13E58">
        <w:rPr>
          <w:rFonts w:ascii="Times New Roman" w:hAnsi="Times New Roman" w:cs="Times New Roman"/>
          <w:sz w:val="24"/>
          <w:szCs w:val="24"/>
          <w:lang w:val="es-ES"/>
        </w:rPr>
        <w:t xml:space="preserve">Con líneas de pobreza regionales (Lp3) la variabilidad en la ordenación es mucho más elevada. En 2008 las regiones con menor pobreza coinciden con las mostradas con los demás umbrales (Navarra, Cantabria, Asturias y el País </w:t>
      </w:r>
      <w:r w:rsidR="00971A31" w:rsidRPr="00E13E58">
        <w:rPr>
          <w:rFonts w:ascii="Times New Roman" w:hAnsi="Times New Roman" w:cs="Times New Roman"/>
          <w:sz w:val="24"/>
          <w:szCs w:val="24"/>
          <w:lang w:val="es-ES"/>
        </w:rPr>
        <w:t>Vasco, a las que se incorpora Isla</w:t>
      </w:r>
      <w:r w:rsidRPr="00E13E58">
        <w:rPr>
          <w:rFonts w:ascii="Times New Roman" w:hAnsi="Times New Roman" w:cs="Times New Roman"/>
          <w:sz w:val="24"/>
          <w:szCs w:val="24"/>
          <w:lang w:val="es-ES"/>
        </w:rPr>
        <w:t>s Balear</w:t>
      </w:r>
      <w:r w:rsidR="00971A31" w:rsidRPr="00E13E58">
        <w:rPr>
          <w:rFonts w:ascii="Times New Roman" w:hAnsi="Times New Roman" w:cs="Times New Roman"/>
          <w:sz w:val="24"/>
          <w:szCs w:val="24"/>
          <w:lang w:val="es-ES"/>
        </w:rPr>
        <w:t>e</w:t>
      </w:r>
      <w:r w:rsidRPr="00E13E58">
        <w:rPr>
          <w:rFonts w:ascii="Times New Roman" w:hAnsi="Times New Roman" w:cs="Times New Roman"/>
          <w:sz w:val="24"/>
          <w:szCs w:val="24"/>
          <w:lang w:val="es-ES"/>
        </w:rPr>
        <w:t xml:space="preserve">s </w:t>
      </w:r>
      <w:r w:rsidR="009D2375" w:rsidRPr="00E13E58">
        <w:rPr>
          <w:rFonts w:ascii="Times New Roman" w:hAnsi="Times New Roman" w:cs="Times New Roman"/>
          <w:sz w:val="24"/>
          <w:szCs w:val="24"/>
          <w:lang w:val="es-ES"/>
        </w:rPr>
        <w:t>con IDE</w:t>
      </w:r>
      <w:r w:rsidRPr="00E13E58">
        <w:rPr>
          <w:rFonts w:ascii="Times New Roman" w:hAnsi="Times New Roman" w:cs="Times New Roman"/>
          <w:sz w:val="24"/>
          <w:szCs w:val="24"/>
          <w:lang w:val="es-ES"/>
        </w:rPr>
        <w:t>), mientras que de las más pobres solo se mantiene la Región de Murcia (con la incorporación de Madrid y La Rioj</w:t>
      </w:r>
      <w:r w:rsidR="00AA17CC" w:rsidRPr="00E13E58">
        <w:rPr>
          <w:rFonts w:ascii="Times New Roman" w:hAnsi="Times New Roman" w:cs="Times New Roman"/>
          <w:sz w:val="24"/>
          <w:szCs w:val="24"/>
          <w:lang w:val="es-ES"/>
        </w:rPr>
        <w:t xml:space="preserve">a, </w:t>
      </w:r>
      <w:r w:rsidR="00971A31" w:rsidRPr="00E13E58">
        <w:rPr>
          <w:rFonts w:ascii="Times New Roman" w:hAnsi="Times New Roman" w:cs="Times New Roman"/>
          <w:sz w:val="24"/>
          <w:szCs w:val="24"/>
          <w:lang w:val="es-ES"/>
        </w:rPr>
        <w:t>e Isla</w:t>
      </w:r>
      <w:r w:rsidRPr="00E13E58">
        <w:rPr>
          <w:rFonts w:ascii="Times New Roman" w:hAnsi="Times New Roman" w:cs="Times New Roman"/>
          <w:sz w:val="24"/>
          <w:szCs w:val="24"/>
          <w:lang w:val="es-ES"/>
        </w:rPr>
        <w:t>s Balear</w:t>
      </w:r>
      <w:r w:rsidR="00971A31" w:rsidRPr="00E13E58">
        <w:rPr>
          <w:rFonts w:ascii="Times New Roman" w:hAnsi="Times New Roman" w:cs="Times New Roman"/>
          <w:sz w:val="24"/>
          <w:szCs w:val="24"/>
          <w:lang w:val="es-ES"/>
        </w:rPr>
        <w:t>e</w:t>
      </w:r>
      <w:r w:rsidRPr="00E13E58">
        <w:rPr>
          <w:rFonts w:ascii="Times New Roman" w:hAnsi="Times New Roman" w:cs="Times New Roman"/>
          <w:sz w:val="24"/>
          <w:szCs w:val="24"/>
          <w:lang w:val="es-ES"/>
        </w:rPr>
        <w:t xml:space="preserve">s </w:t>
      </w:r>
      <w:r w:rsidR="009D2375" w:rsidRPr="00E13E58">
        <w:rPr>
          <w:rFonts w:ascii="Times New Roman" w:hAnsi="Times New Roman" w:cs="Times New Roman"/>
          <w:sz w:val="24"/>
          <w:szCs w:val="24"/>
          <w:lang w:val="es-ES"/>
        </w:rPr>
        <w:t>con IDEI</w:t>
      </w:r>
      <w:r w:rsidR="0090466F" w:rsidRPr="00E13E58">
        <w:rPr>
          <w:rFonts w:ascii="Times New Roman" w:hAnsi="Times New Roman" w:cs="Times New Roman"/>
          <w:sz w:val="24"/>
          <w:szCs w:val="24"/>
          <w:lang w:val="es-ES"/>
        </w:rPr>
        <w:t>). En 2012, en cambio, l</w:t>
      </w:r>
      <w:r w:rsidRPr="00E13E58">
        <w:rPr>
          <w:rFonts w:ascii="Times New Roman" w:hAnsi="Times New Roman" w:cs="Times New Roman"/>
          <w:sz w:val="24"/>
          <w:szCs w:val="24"/>
          <w:lang w:val="es-ES"/>
        </w:rPr>
        <w:t xml:space="preserve">as regiones menos pobres son Galicia y Castilla y León debido a que mejoran (IDE) o empeoran </w:t>
      </w:r>
      <w:r w:rsidR="009D2375" w:rsidRPr="00E13E58">
        <w:rPr>
          <w:rFonts w:ascii="Times New Roman" w:hAnsi="Times New Roman" w:cs="Times New Roman"/>
          <w:sz w:val="24"/>
          <w:szCs w:val="24"/>
          <w:lang w:val="es-ES"/>
        </w:rPr>
        <w:t xml:space="preserve">menos </w:t>
      </w:r>
      <w:r w:rsidRPr="00E13E58">
        <w:rPr>
          <w:rFonts w:ascii="Times New Roman" w:hAnsi="Times New Roman" w:cs="Times New Roman"/>
          <w:sz w:val="24"/>
          <w:szCs w:val="24"/>
          <w:lang w:val="es-ES"/>
        </w:rPr>
        <w:t>(IDEI).</w:t>
      </w:r>
      <w:r w:rsidR="009D2375" w:rsidRPr="00E13E58">
        <w:rPr>
          <w:rFonts w:ascii="Times New Roman" w:hAnsi="Times New Roman" w:cs="Times New Roman"/>
          <w:sz w:val="24"/>
          <w:szCs w:val="24"/>
          <w:lang w:val="es-ES"/>
        </w:rPr>
        <w:t xml:space="preserve"> </w:t>
      </w:r>
      <w:r w:rsidRPr="00E13E58">
        <w:rPr>
          <w:rFonts w:ascii="Times New Roman" w:hAnsi="Times New Roman" w:cs="Times New Roman"/>
          <w:sz w:val="24"/>
          <w:szCs w:val="24"/>
          <w:lang w:val="es-ES"/>
        </w:rPr>
        <w:t>En la peor situación vuelven a aparecer las regiones que las ocupaban con los demás umbrales (Murcia, Canarias, Castilla-La Manch</w:t>
      </w:r>
      <w:r w:rsidR="009D2375" w:rsidRPr="00E13E58">
        <w:rPr>
          <w:rFonts w:ascii="Times New Roman" w:hAnsi="Times New Roman" w:cs="Times New Roman"/>
          <w:sz w:val="24"/>
          <w:szCs w:val="24"/>
          <w:lang w:val="es-ES"/>
        </w:rPr>
        <w:t>a, con la incorporación de Islas</w:t>
      </w:r>
      <w:r w:rsidRPr="00E13E58">
        <w:rPr>
          <w:rFonts w:ascii="Times New Roman" w:hAnsi="Times New Roman" w:cs="Times New Roman"/>
          <w:sz w:val="24"/>
          <w:szCs w:val="24"/>
          <w:lang w:val="es-ES"/>
        </w:rPr>
        <w:t xml:space="preserve"> Balear</w:t>
      </w:r>
      <w:r w:rsidR="009D2375" w:rsidRPr="00E13E58">
        <w:rPr>
          <w:rFonts w:ascii="Times New Roman" w:hAnsi="Times New Roman" w:cs="Times New Roman"/>
          <w:sz w:val="24"/>
          <w:szCs w:val="24"/>
          <w:lang w:val="es-ES"/>
        </w:rPr>
        <w:t>e</w:t>
      </w:r>
      <w:r w:rsidRPr="00E13E58">
        <w:rPr>
          <w:rFonts w:ascii="Times New Roman" w:hAnsi="Times New Roman" w:cs="Times New Roman"/>
          <w:sz w:val="24"/>
          <w:szCs w:val="24"/>
          <w:lang w:val="es-ES"/>
        </w:rPr>
        <w:t>s y la ausenci</w:t>
      </w:r>
      <w:r w:rsidR="00E13E58" w:rsidRPr="00E13E58">
        <w:rPr>
          <w:rFonts w:ascii="Times New Roman" w:hAnsi="Times New Roman" w:cs="Times New Roman"/>
          <w:sz w:val="24"/>
          <w:szCs w:val="24"/>
          <w:lang w:val="es-ES"/>
        </w:rPr>
        <w:t>a de Andalucía y de Extremadura</w:t>
      </w:r>
      <w:r w:rsidRPr="00E13E58">
        <w:rPr>
          <w:rFonts w:ascii="Times New Roman" w:hAnsi="Times New Roman" w:cs="Times New Roman"/>
          <w:sz w:val="24"/>
          <w:szCs w:val="24"/>
          <w:lang w:val="es-ES"/>
        </w:rPr>
        <w:t>).</w:t>
      </w:r>
      <w:r w:rsidR="009D2375" w:rsidRPr="00E13E58">
        <w:rPr>
          <w:rFonts w:ascii="Times New Roman" w:hAnsi="Times New Roman" w:cs="Times New Roman"/>
          <w:sz w:val="24"/>
          <w:szCs w:val="24"/>
          <w:lang w:val="es-ES"/>
        </w:rPr>
        <w:t xml:space="preserve"> La peor evolución la presentan Navarra, Cantabria </w:t>
      </w:r>
      <w:r w:rsidR="00930F4D" w:rsidRPr="00E13E58">
        <w:rPr>
          <w:rFonts w:ascii="Times New Roman" w:hAnsi="Times New Roman" w:cs="Times New Roman"/>
          <w:sz w:val="24"/>
          <w:szCs w:val="24"/>
          <w:lang w:val="es-ES"/>
        </w:rPr>
        <w:t>e I</w:t>
      </w:r>
      <w:r w:rsidR="009D2375" w:rsidRPr="00E13E58">
        <w:rPr>
          <w:rFonts w:ascii="Times New Roman" w:hAnsi="Times New Roman" w:cs="Times New Roman"/>
          <w:sz w:val="24"/>
          <w:szCs w:val="24"/>
          <w:lang w:val="es-ES"/>
        </w:rPr>
        <w:t>slas Baleares (IDE) y Navarra, Aragón, Asturias y Castilla-La Mancha (IDEI).</w:t>
      </w:r>
    </w:p>
    <w:p w:rsidR="003B7EB7" w:rsidRPr="002A1746" w:rsidRDefault="003B7EB7" w:rsidP="0081148C">
      <w:pPr>
        <w:pStyle w:val="Prrafodelista"/>
        <w:numPr>
          <w:ilvl w:val="0"/>
          <w:numId w:val="1"/>
        </w:numPr>
        <w:spacing w:before="120" w:after="120" w:line="360" w:lineRule="auto"/>
        <w:ind w:left="714" w:hanging="357"/>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t>BIBLIOGRAFÍA</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B4C90">
        <w:rPr>
          <w:rFonts w:ascii="Times New Roman" w:hAnsi="Times New Roman" w:cs="Times New Roman"/>
          <w:sz w:val="24"/>
          <w:szCs w:val="24"/>
          <w:lang w:val="es-ES"/>
        </w:rPr>
        <w:t xml:space="preserve">Aragón, J.; Cruces, J.; De La Fuente, L.; Martínez, A.; </w:t>
      </w:r>
      <w:proofErr w:type="spellStart"/>
      <w:r w:rsidRPr="00EB4C90">
        <w:rPr>
          <w:rFonts w:ascii="Times New Roman" w:hAnsi="Times New Roman" w:cs="Times New Roman"/>
          <w:sz w:val="24"/>
          <w:szCs w:val="24"/>
          <w:lang w:val="es-ES"/>
        </w:rPr>
        <w:t>Otaegui</w:t>
      </w:r>
      <w:proofErr w:type="spellEnd"/>
      <w:r w:rsidRPr="00EB4C90">
        <w:rPr>
          <w:rFonts w:ascii="Times New Roman" w:hAnsi="Times New Roman" w:cs="Times New Roman"/>
          <w:sz w:val="24"/>
          <w:szCs w:val="24"/>
          <w:lang w:val="es-ES"/>
        </w:rPr>
        <w:t xml:space="preserve">, A. y </w:t>
      </w:r>
      <w:proofErr w:type="spellStart"/>
      <w:r w:rsidRPr="00EB4C90">
        <w:rPr>
          <w:rFonts w:ascii="Times New Roman" w:hAnsi="Times New Roman" w:cs="Times New Roman"/>
          <w:sz w:val="24"/>
          <w:szCs w:val="24"/>
          <w:lang w:val="es-ES"/>
        </w:rPr>
        <w:t>Llopis</w:t>
      </w:r>
      <w:proofErr w:type="spellEnd"/>
      <w:r w:rsidRPr="00EB4C90">
        <w:rPr>
          <w:rFonts w:ascii="Times New Roman" w:hAnsi="Times New Roman" w:cs="Times New Roman"/>
          <w:sz w:val="24"/>
          <w:szCs w:val="24"/>
          <w:lang w:val="es-ES"/>
        </w:rPr>
        <w:t xml:space="preserve">, E. S. (2012): “Trabajadores pobres y empobrecimiento en España”. </w:t>
      </w:r>
      <w:r w:rsidRPr="00EB4C90">
        <w:rPr>
          <w:rFonts w:ascii="Times New Roman" w:hAnsi="Times New Roman" w:cs="Times New Roman"/>
          <w:i/>
          <w:sz w:val="24"/>
          <w:szCs w:val="24"/>
          <w:lang w:val="es-ES"/>
        </w:rPr>
        <w:t>Colección Estudios</w:t>
      </w:r>
      <w:r w:rsidRPr="00EB4C90">
        <w:rPr>
          <w:rFonts w:ascii="Times New Roman" w:hAnsi="Times New Roman" w:cs="Times New Roman"/>
          <w:sz w:val="24"/>
          <w:szCs w:val="24"/>
          <w:lang w:val="es-ES"/>
        </w:rPr>
        <w:t>, núm. 56. Fundación 1º de Mayo. ISSN: 1989-4732. Madrid, Octubre 2012.</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B4C90">
        <w:rPr>
          <w:rFonts w:ascii="Times New Roman" w:hAnsi="Times New Roman" w:cs="Times New Roman"/>
          <w:sz w:val="24"/>
          <w:szCs w:val="24"/>
          <w:lang w:val="es-ES"/>
        </w:rPr>
        <w:t xml:space="preserve">Ayala Cañón, L. (2005) “La descentralización territorial de los sistemas de garantía de rentas”. </w:t>
      </w:r>
      <w:r w:rsidRPr="00EB4C90">
        <w:rPr>
          <w:rFonts w:ascii="Times New Roman" w:hAnsi="Times New Roman" w:cs="Times New Roman"/>
          <w:i/>
          <w:iCs/>
          <w:sz w:val="24"/>
          <w:szCs w:val="24"/>
          <w:lang w:val="es-ES"/>
        </w:rPr>
        <w:t>Cuadernos de Relaciones Laborales</w:t>
      </w:r>
      <w:r w:rsidRPr="00EB4C90">
        <w:rPr>
          <w:rFonts w:ascii="Times New Roman" w:hAnsi="Times New Roman" w:cs="Times New Roman"/>
          <w:sz w:val="24"/>
          <w:szCs w:val="24"/>
          <w:lang w:val="es-ES"/>
        </w:rPr>
        <w:t xml:space="preserve">. </w:t>
      </w:r>
      <w:r w:rsidRPr="00EB4C90">
        <w:rPr>
          <w:rFonts w:ascii="Times New Roman" w:hAnsi="Times New Roman" w:cs="Times New Roman"/>
          <w:i/>
          <w:iCs/>
          <w:sz w:val="24"/>
          <w:szCs w:val="24"/>
          <w:lang w:val="es-ES"/>
        </w:rPr>
        <w:t>Vol. 23, núm. 2</w:t>
      </w:r>
    </w:p>
    <w:p w:rsidR="00EB4C90" w:rsidRDefault="00EB4C90"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B4C90">
        <w:rPr>
          <w:rFonts w:ascii="Times New Roman" w:hAnsi="Times New Roman" w:cs="Times New Roman"/>
          <w:sz w:val="24"/>
          <w:szCs w:val="24"/>
          <w:lang w:val="es-ES"/>
        </w:rPr>
        <w:t xml:space="preserve">Ayala, L., Jurado, A., y Pérez-Mayo, J. (2014). </w:t>
      </w:r>
      <w:r w:rsidRPr="00D40766">
        <w:rPr>
          <w:rFonts w:ascii="Times New Roman" w:hAnsi="Times New Roman" w:cs="Times New Roman"/>
          <w:sz w:val="24"/>
          <w:szCs w:val="24"/>
          <w:lang w:val="en-US"/>
        </w:rPr>
        <w:t xml:space="preserve">“Drawing the Poverty Line: Do Regional Thresholds and Prices Make a Difference?” </w:t>
      </w:r>
      <w:proofErr w:type="spellStart"/>
      <w:r w:rsidRPr="00EB4C90">
        <w:rPr>
          <w:rFonts w:ascii="Times New Roman" w:hAnsi="Times New Roman" w:cs="Times New Roman"/>
          <w:i/>
          <w:sz w:val="24"/>
          <w:szCs w:val="24"/>
          <w:lang w:val="es-ES"/>
        </w:rPr>
        <w:t>Applied</w:t>
      </w:r>
      <w:proofErr w:type="spellEnd"/>
      <w:r w:rsidRPr="00EB4C90">
        <w:rPr>
          <w:rFonts w:ascii="Times New Roman" w:hAnsi="Times New Roman" w:cs="Times New Roman"/>
          <w:i/>
          <w:sz w:val="24"/>
          <w:szCs w:val="24"/>
          <w:lang w:val="es-ES"/>
        </w:rPr>
        <w:t xml:space="preserve"> </w:t>
      </w:r>
      <w:proofErr w:type="spellStart"/>
      <w:r w:rsidRPr="00EB4C90">
        <w:rPr>
          <w:rFonts w:ascii="Times New Roman" w:hAnsi="Times New Roman" w:cs="Times New Roman"/>
          <w:i/>
          <w:sz w:val="24"/>
          <w:szCs w:val="24"/>
          <w:lang w:val="es-ES"/>
        </w:rPr>
        <w:t>Economic</w:t>
      </w:r>
      <w:proofErr w:type="spellEnd"/>
      <w:r w:rsidRPr="00EB4C90">
        <w:rPr>
          <w:rFonts w:ascii="Times New Roman" w:hAnsi="Times New Roman" w:cs="Times New Roman"/>
          <w:i/>
          <w:sz w:val="24"/>
          <w:szCs w:val="24"/>
          <w:lang w:val="es-ES"/>
        </w:rPr>
        <w:t xml:space="preserve"> </w:t>
      </w:r>
      <w:proofErr w:type="spellStart"/>
      <w:r w:rsidRPr="00EB4C90">
        <w:rPr>
          <w:rFonts w:ascii="Times New Roman" w:hAnsi="Times New Roman" w:cs="Times New Roman"/>
          <w:i/>
          <w:sz w:val="24"/>
          <w:szCs w:val="24"/>
          <w:lang w:val="es-ES"/>
        </w:rPr>
        <w:t>Perspectives</w:t>
      </w:r>
      <w:proofErr w:type="spellEnd"/>
      <w:r w:rsidRPr="00EB4C90">
        <w:rPr>
          <w:rFonts w:ascii="Times New Roman" w:hAnsi="Times New Roman" w:cs="Times New Roman"/>
          <w:i/>
          <w:sz w:val="24"/>
          <w:szCs w:val="24"/>
          <w:lang w:val="es-ES"/>
        </w:rPr>
        <w:t xml:space="preserve"> and </w:t>
      </w:r>
      <w:proofErr w:type="spellStart"/>
      <w:r w:rsidRPr="00EB4C90">
        <w:rPr>
          <w:rFonts w:ascii="Times New Roman" w:hAnsi="Times New Roman" w:cs="Times New Roman"/>
          <w:i/>
          <w:sz w:val="24"/>
          <w:szCs w:val="24"/>
          <w:lang w:val="es-ES"/>
        </w:rPr>
        <w:t>Policy</w:t>
      </w:r>
      <w:proofErr w:type="spellEnd"/>
      <w:r w:rsidRPr="00EB4C90">
        <w:rPr>
          <w:rFonts w:ascii="Times New Roman" w:hAnsi="Times New Roman" w:cs="Times New Roman"/>
          <w:sz w:val="24"/>
          <w:szCs w:val="24"/>
          <w:lang w:val="es-ES"/>
        </w:rPr>
        <w:t>, vol. 36, nº 2, pp. 309-332. 2014.</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proofErr w:type="spellStart"/>
      <w:r w:rsidRPr="00EB4C90">
        <w:rPr>
          <w:rFonts w:ascii="Times New Roman" w:hAnsi="Times New Roman" w:cs="Times New Roman"/>
          <w:sz w:val="24"/>
          <w:szCs w:val="24"/>
          <w:lang w:val="es-ES"/>
        </w:rPr>
        <w:t>Bellod</w:t>
      </w:r>
      <w:proofErr w:type="spellEnd"/>
      <w:r w:rsidRPr="00EB4C90">
        <w:rPr>
          <w:rFonts w:ascii="Times New Roman" w:hAnsi="Times New Roman" w:cs="Times New Roman"/>
          <w:sz w:val="24"/>
          <w:szCs w:val="24"/>
          <w:lang w:val="es-ES"/>
        </w:rPr>
        <w:t xml:space="preserve">, J. (2013). “Desigualdad y pobreza: deterioro de las condiciones de vida en España”. </w:t>
      </w:r>
      <w:r w:rsidRPr="00EB4C90">
        <w:rPr>
          <w:rFonts w:ascii="Times New Roman" w:hAnsi="Times New Roman" w:cs="Times New Roman"/>
          <w:i/>
          <w:sz w:val="24"/>
          <w:szCs w:val="24"/>
          <w:lang w:val="es-ES"/>
        </w:rPr>
        <w:t>Contribuciones a la Economía</w:t>
      </w:r>
      <w:r w:rsidRPr="00EB4C90">
        <w:rPr>
          <w:rFonts w:ascii="Times New Roman" w:hAnsi="Times New Roman" w:cs="Times New Roman"/>
          <w:sz w:val="24"/>
          <w:szCs w:val="24"/>
          <w:lang w:val="es-ES"/>
        </w:rPr>
        <w:t xml:space="preserve">, ISSN 1696-8360. </w:t>
      </w:r>
      <w:proofErr w:type="gramStart"/>
      <w:r w:rsidRPr="00EB4C90">
        <w:rPr>
          <w:rFonts w:ascii="Times New Roman" w:hAnsi="Times New Roman" w:cs="Times New Roman"/>
          <w:sz w:val="24"/>
          <w:szCs w:val="24"/>
          <w:lang w:val="es-ES"/>
        </w:rPr>
        <w:t>mayo</w:t>
      </w:r>
      <w:proofErr w:type="gramEnd"/>
      <w:r w:rsidRPr="00EB4C90">
        <w:rPr>
          <w:rFonts w:ascii="Times New Roman" w:hAnsi="Times New Roman" w:cs="Times New Roman"/>
          <w:sz w:val="24"/>
          <w:szCs w:val="24"/>
          <w:lang w:val="es-ES"/>
        </w:rPr>
        <w:t xml:space="preserve"> 2013. www.eumed.net/ce/2013/condiciones-vida-espana.html</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B4C90">
        <w:rPr>
          <w:rFonts w:ascii="Times New Roman" w:hAnsi="Times New Roman" w:cs="Times New Roman"/>
          <w:sz w:val="24"/>
          <w:szCs w:val="24"/>
          <w:lang w:val="es-ES"/>
        </w:rPr>
        <w:t xml:space="preserve">Cantó, O. y Ayala, L. (2014). </w:t>
      </w:r>
      <w:r w:rsidRPr="00EB4C90">
        <w:rPr>
          <w:rFonts w:ascii="Times New Roman" w:hAnsi="Times New Roman" w:cs="Times New Roman"/>
          <w:i/>
          <w:sz w:val="24"/>
          <w:szCs w:val="24"/>
          <w:lang w:val="es-ES"/>
        </w:rPr>
        <w:t>Políticas Públicas para reducir la Pobreza Infantil en España: Análisis de Impacto</w:t>
      </w:r>
      <w:r w:rsidRPr="00EB4C90">
        <w:rPr>
          <w:rFonts w:ascii="Times New Roman" w:hAnsi="Times New Roman" w:cs="Times New Roman"/>
          <w:sz w:val="24"/>
          <w:szCs w:val="24"/>
          <w:lang w:val="es-ES"/>
        </w:rPr>
        <w:t>. UNICEF Comité Español. Marzo 2014. Madrid. http://www.unicef.es/sites/www.unicef.es/files/unicef_politicas_para_reducir_pobreza_infantil_espana_baja.pdf</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B4C90">
        <w:rPr>
          <w:rFonts w:ascii="Times New Roman" w:hAnsi="Times New Roman" w:cs="Times New Roman"/>
          <w:sz w:val="24"/>
          <w:szCs w:val="24"/>
          <w:lang w:val="es-ES"/>
        </w:rPr>
        <w:lastRenderedPageBreak/>
        <w:t xml:space="preserve">Carrascal, A., Corbelle, F., Fernández, M. y </w:t>
      </w:r>
      <w:proofErr w:type="spellStart"/>
      <w:r w:rsidRPr="00EB4C90">
        <w:rPr>
          <w:rFonts w:ascii="Times New Roman" w:hAnsi="Times New Roman" w:cs="Times New Roman"/>
          <w:sz w:val="24"/>
          <w:szCs w:val="24"/>
          <w:lang w:val="es-ES"/>
        </w:rPr>
        <w:t>Vilariño</w:t>
      </w:r>
      <w:proofErr w:type="spellEnd"/>
      <w:r w:rsidRPr="00EB4C90">
        <w:rPr>
          <w:rFonts w:ascii="Times New Roman" w:hAnsi="Times New Roman" w:cs="Times New Roman"/>
          <w:sz w:val="24"/>
          <w:szCs w:val="24"/>
          <w:lang w:val="es-ES"/>
        </w:rPr>
        <w:t xml:space="preserve">, M.C. (2014): “El Plan E como estímulo fiscal: Evaluación de su efectividad en la creación y mantenimiento de empleo a escala provincial”. </w:t>
      </w:r>
      <w:r w:rsidRPr="00EB4C90">
        <w:rPr>
          <w:rFonts w:ascii="Times New Roman" w:hAnsi="Times New Roman" w:cs="Times New Roman"/>
          <w:i/>
          <w:sz w:val="24"/>
          <w:szCs w:val="24"/>
          <w:lang w:val="es-ES"/>
        </w:rPr>
        <w:t>Revista de Economía Laboral</w:t>
      </w:r>
      <w:r w:rsidRPr="00EB4C90">
        <w:rPr>
          <w:rFonts w:ascii="Times New Roman" w:hAnsi="Times New Roman" w:cs="Times New Roman"/>
          <w:sz w:val="24"/>
          <w:szCs w:val="24"/>
          <w:lang w:val="es-ES"/>
        </w:rPr>
        <w:t>; ISSN: 1698-451X; vol. 11(2014), pp. 1-23.</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bCs/>
          <w:sz w:val="24"/>
          <w:szCs w:val="24"/>
          <w:shd w:val="clear" w:color="auto" w:fill="FFFFFF"/>
          <w:lang w:val="es-ES"/>
        </w:rPr>
      </w:pPr>
      <w:r w:rsidRPr="00EB4C90">
        <w:rPr>
          <w:rFonts w:ascii="Times New Roman" w:hAnsi="Times New Roman" w:cs="Times New Roman"/>
          <w:bCs/>
          <w:sz w:val="24"/>
          <w:szCs w:val="24"/>
          <w:shd w:val="clear" w:color="auto" w:fill="FFFFFF"/>
          <w:lang w:val="es-ES"/>
        </w:rPr>
        <w:t xml:space="preserve">EAPN España  (2014). </w:t>
      </w:r>
      <w:r w:rsidRPr="00EB4C90">
        <w:rPr>
          <w:rFonts w:ascii="Times New Roman" w:hAnsi="Times New Roman" w:cs="Times New Roman"/>
          <w:bCs/>
          <w:i/>
          <w:sz w:val="24"/>
          <w:szCs w:val="24"/>
          <w:shd w:val="clear" w:color="auto" w:fill="FFFFFF"/>
          <w:lang w:val="es-ES"/>
        </w:rPr>
        <w:t>Dossier Pobreza de EAPN España</w:t>
      </w:r>
      <w:r w:rsidRPr="00EB4C90">
        <w:rPr>
          <w:rFonts w:ascii="Times New Roman" w:hAnsi="Times New Roman" w:cs="Times New Roman"/>
          <w:bCs/>
          <w:sz w:val="24"/>
          <w:szCs w:val="24"/>
          <w:shd w:val="clear" w:color="auto" w:fill="FFFFFF"/>
          <w:lang w:val="es-ES"/>
        </w:rPr>
        <w:t xml:space="preserve">. Madrid, 2014. </w:t>
      </w:r>
      <w:r w:rsidRPr="00EB4C90">
        <w:rPr>
          <w:rFonts w:ascii="Times New Roman" w:hAnsi="Times New Roman" w:cs="Times New Roman"/>
          <w:sz w:val="24"/>
          <w:szCs w:val="24"/>
          <w:lang w:val="es-ES"/>
        </w:rPr>
        <w:t>http://eapn.es/ARCHIVO/documentos/dossier_pobreza.pdf</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bCs/>
          <w:sz w:val="24"/>
          <w:szCs w:val="24"/>
          <w:shd w:val="clear" w:color="auto" w:fill="FFFFFF"/>
          <w:lang w:val="es-ES"/>
        </w:rPr>
      </w:pPr>
      <w:r w:rsidRPr="00EB4C90">
        <w:rPr>
          <w:rFonts w:ascii="Times New Roman" w:hAnsi="Times New Roman" w:cs="Times New Roman"/>
          <w:bCs/>
          <w:sz w:val="24"/>
          <w:szCs w:val="24"/>
          <w:shd w:val="clear" w:color="auto" w:fill="FFFFFF"/>
          <w:lang w:val="es-ES"/>
        </w:rPr>
        <w:t xml:space="preserve">Fundación FOESSA (2014). </w:t>
      </w:r>
      <w:r w:rsidRPr="00EB4C90">
        <w:rPr>
          <w:rFonts w:ascii="Times New Roman" w:hAnsi="Times New Roman" w:cs="Times New Roman"/>
          <w:bCs/>
          <w:i/>
          <w:sz w:val="24"/>
          <w:szCs w:val="24"/>
          <w:shd w:val="clear" w:color="auto" w:fill="FFFFFF"/>
          <w:lang w:val="es-ES"/>
        </w:rPr>
        <w:t>Análisis y perspectivas 2014: Precariedad y Cohesión Social.</w:t>
      </w:r>
      <w:r w:rsidRPr="00EB4C90">
        <w:rPr>
          <w:rFonts w:ascii="Times New Roman" w:hAnsi="Times New Roman" w:cs="Times New Roman"/>
          <w:bCs/>
          <w:sz w:val="24"/>
          <w:szCs w:val="24"/>
          <w:shd w:val="clear" w:color="auto" w:fill="FFFFFF"/>
          <w:lang w:val="es-ES"/>
        </w:rPr>
        <w:t xml:space="preserve"> ISBN: 978-84-8440-579-5. http://www.foessa.es/publicaciones_compra.aspx?Id=4834&amp;Idioma=1&amp;Diocesis=42.</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B4C90">
        <w:rPr>
          <w:rFonts w:ascii="Times New Roman" w:hAnsi="Times New Roman" w:cs="Times New Roman"/>
          <w:sz w:val="24"/>
          <w:szCs w:val="24"/>
          <w:lang w:val="es-ES"/>
        </w:rPr>
        <w:t xml:space="preserve">González-Bueno, G., Bello, A. y Arias, M. (2012). </w:t>
      </w:r>
      <w:r w:rsidRPr="00EB4C90">
        <w:rPr>
          <w:rFonts w:ascii="Times New Roman" w:hAnsi="Times New Roman" w:cs="Times New Roman"/>
          <w:i/>
          <w:sz w:val="24"/>
          <w:szCs w:val="24"/>
          <w:lang w:val="es-ES"/>
        </w:rPr>
        <w:t>La infancia en España 2012-2013: El impacto de la crisis en los niños.</w:t>
      </w:r>
      <w:r w:rsidRPr="00EB4C90">
        <w:rPr>
          <w:rFonts w:ascii="Times New Roman" w:hAnsi="Times New Roman" w:cs="Times New Roman"/>
          <w:sz w:val="24"/>
          <w:szCs w:val="24"/>
          <w:lang w:val="es-ES"/>
        </w:rPr>
        <w:t xml:space="preserve"> UNICEF Comité Español. Madrid, 2012. http://www.unicef.es/sites/www.unicef.es/files/Infancia_2012_2013_final.pdf#page=6</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bCs/>
          <w:sz w:val="24"/>
          <w:szCs w:val="24"/>
          <w:shd w:val="clear" w:color="auto" w:fill="FFFFFF"/>
          <w:lang w:val="es-ES"/>
        </w:rPr>
      </w:pPr>
      <w:r w:rsidRPr="00EB4C90">
        <w:rPr>
          <w:rFonts w:ascii="Times New Roman" w:hAnsi="Times New Roman" w:cs="Times New Roman"/>
          <w:bCs/>
          <w:sz w:val="24"/>
          <w:szCs w:val="24"/>
          <w:shd w:val="clear" w:color="auto" w:fill="FFFFFF"/>
          <w:lang w:val="es-ES"/>
        </w:rPr>
        <w:t xml:space="preserve">Instituto Nacional de Estadística (INE) (2014a). </w:t>
      </w:r>
      <w:r w:rsidRPr="00EB4C90">
        <w:rPr>
          <w:rFonts w:ascii="Times New Roman" w:hAnsi="Times New Roman" w:cs="Times New Roman"/>
          <w:bCs/>
          <w:i/>
          <w:sz w:val="24"/>
          <w:szCs w:val="24"/>
          <w:shd w:val="clear" w:color="auto" w:fill="FFFFFF"/>
          <w:lang w:val="es-ES"/>
        </w:rPr>
        <w:t>Encuesta de Condiciones de Vida</w:t>
      </w:r>
      <w:r w:rsidR="00930F4D" w:rsidRPr="00EB4C90">
        <w:rPr>
          <w:rFonts w:ascii="Times New Roman" w:hAnsi="Times New Roman" w:cs="Times New Roman"/>
          <w:bCs/>
          <w:i/>
          <w:sz w:val="24"/>
          <w:szCs w:val="24"/>
          <w:shd w:val="clear" w:color="auto" w:fill="FFFFFF"/>
          <w:lang w:val="es-ES"/>
        </w:rPr>
        <w:t xml:space="preserve"> (ECV)</w:t>
      </w:r>
      <w:r w:rsidRPr="00EB4C90">
        <w:rPr>
          <w:rFonts w:ascii="Times New Roman" w:hAnsi="Times New Roman" w:cs="Times New Roman"/>
          <w:bCs/>
          <w:i/>
          <w:sz w:val="24"/>
          <w:szCs w:val="24"/>
          <w:shd w:val="clear" w:color="auto" w:fill="FFFFFF"/>
          <w:lang w:val="es-ES"/>
        </w:rPr>
        <w:t>.</w:t>
      </w:r>
      <w:r w:rsidRPr="00EB4C90">
        <w:rPr>
          <w:rFonts w:ascii="Times New Roman" w:hAnsi="Times New Roman" w:cs="Times New Roman"/>
          <w:bCs/>
          <w:sz w:val="24"/>
          <w:szCs w:val="24"/>
          <w:shd w:val="clear" w:color="auto" w:fill="FFFFFF"/>
          <w:lang w:val="es-ES"/>
        </w:rPr>
        <w:t xml:space="preserve"> Madrid. [</w:t>
      </w:r>
      <w:proofErr w:type="gramStart"/>
      <w:r w:rsidRPr="00EB4C90">
        <w:rPr>
          <w:rFonts w:ascii="Times New Roman" w:hAnsi="Times New Roman" w:cs="Times New Roman"/>
          <w:bCs/>
          <w:sz w:val="24"/>
          <w:szCs w:val="24"/>
          <w:shd w:val="clear" w:color="auto" w:fill="FFFFFF"/>
          <w:lang w:val="es-ES"/>
        </w:rPr>
        <w:t>online</w:t>
      </w:r>
      <w:proofErr w:type="gramEnd"/>
      <w:r w:rsidRPr="00EB4C90">
        <w:rPr>
          <w:rFonts w:ascii="Times New Roman" w:hAnsi="Times New Roman" w:cs="Times New Roman"/>
          <w:bCs/>
          <w:sz w:val="24"/>
          <w:szCs w:val="24"/>
          <w:shd w:val="clear" w:color="auto" w:fill="FFFFFF"/>
          <w:lang w:val="es-ES"/>
        </w:rPr>
        <w:t>] [20 de septiembre de 2014]  http://www.ine.es/</w:t>
      </w:r>
    </w:p>
    <w:p w:rsidR="00343467" w:rsidRPr="00EB4C90" w:rsidRDefault="00343467" w:rsidP="00EB4C90">
      <w:pPr>
        <w:pStyle w:val="Prrafodelista"/>
        <w:numPr>
          <w:ilvl w:val="0"/>
          <w:numId w:val="2"/>
        </w:numPr>
        <w:autoSpaceDE w:val="0"/>
        <w:autoSpaceDN w:val="0"/>
        <w:adjustRightInd w:val="0"/>
        <w:spacing w:before="120" w:after="120" w:line="360" w:lineRule="auto"/>
        <w:jc w:val="both"/>
        <w:rPr>
          <w:rFonts w:ascii="Times New Roman" w:hAnsi="Times New Roman" w:cs="Times New Roman"/>
          <w:bCs/>
          <w:sz w:val="24"/>
          <w:szCs w:val="24"/>
          <w:shd w:val="clear" w:color="auto" w:fill="FFFFFF"/>
          <w:lang w:val="es-ES"/>
        </w:rPr>
      </w:pPr>
      <w:r w:rsidRPr="00EB4C90">
        <w:rPr>
          <w:rFonts w:ascii="Times New Roman" w:hAnsi="Times New Roman" w:cs="Times New Roman"/>
          <w:bCs/>
          <w:sz w:val="24"/>
          <w:szCs w:val="24"/>
          <w:shd w:val="clear" w:color="auto" w:fill="FFFFFF"/>
          <w:lang w:val="es-ES"/>
        </w:rPr>
        <w:t xml:space="preserve">(2014b). </w:t>
      </w:r>
      <w:r w:rsidRPr="00EB4C90">
        <w:rPr>
          <w:rFonts w:ascii="Times New Roman" w:hAnsi="Times New Roman" w:cs="Times New Roman"/>
          <w:bCs/>
          <w:i/>
          <w:sz w:val="24"/>
          <w:szCs w:val="24"/>
          <w:shd w:val="clear" w:color="auto" w:fill="FFFFFF"/>
          <w:lang w:val="es-ES"/>
        </w:rPr>
        <w:t>Encuesta de Condiciones de Vida</w:t>
      </w:r>
      <w:r w:rsidR="00930F4D" w:rsidRPr="00EB4C90">
        <w:rPr>
          <w:rFonts w:ascii="Times New Roman" w:hAnsi="Times New Roman" w:cs="Times New Roman"/>
          <w:bCs/>
          <w:i/>
          <w:sz w:val="24"/>
          <w:szCs w:val="24"/>
          <w:shd w:val="clear" w:color="auto" w:fill="FFFFFF"/>
          <w:lang w:val="es-ES"/>
        </w:rPr>
        <w:t xml:space="preserve"> (ECV)</w:t>
      </w:r>
      <w:r w:rsidRPr="00EB4C90">
        <w:rPr>
          <w:rFonts w:ascii="Times New Roman" w:hAnsi="Times New Roman" w:cs="Times New Roman"/>
          <w:bCs/>
          <w:i/>
          <w:sz w:val="24"/>
          <w:szCs w:val="24"/>
          <w:shd w:val="clear" w:color="auto" w:fill="FFFFFF"/>
          <w:lang w:val="es-ES"/>
        </w:rPr>
        <w:t>.</w:t>
      </w:r>
      <w:r w:rsidRPr="00EB4C90">
        <w:rPr>
          <w:rFonts w:ascii="Times New Roman" w:hAnsi="Times New Roman" w:cs="Times New Roman"/>
          <w:bCs/>
          <w:sz w:val="24"/>
          <w:szCs w:val="24"/>
          <w:shd w:val="clear" w:color="auto" w:fill="FFFFFF"/>
          <w:lang w:val="es-ES"/>
        </w:rPr>
        <w:t xml:space="preserve"> </w:t>
      </w:r>
      <w:r w:rsidRPr="00EB4C90">
        <w:rPr>
          <w:rFonts w:ascii="Times New Roman" w:hAnsi="Times New Roman" w:cs="Times New Roman"/>
          <w:bCs/>
          <w:i/>
          <w:sz w:val="24"/>
          <w:szCs w:val="24"/>
          <w:shd w:val="clear" w:color="auto" w:fill="FFFFFF"/>
          <w:lang w:val="es-ES"/>
        </w:rPr>
        <w:t xml:space="preserve">Notas de prensa, </w:t>
      </w:r>
      <w:r w:rsidRPr="00EB4C90">
        <w:rPr>
          <w:rFonts w:ascii="Times New Roman" w:hAnsi="Times New Roman" w:cs="Times New Roman"/>
          <w:bCs/>
          <w:sz w:val="24"/>
          <w:szCs w:val="24"/>
          <w:shd w:val="clear" w:color="auto" w:fill="FFFFFF"/>
          <w:lang w:val="es-ES"/>
        </w:rPr>
        <w:t>20 de noviembre de 2013</w:t>
      </w:r>
      <w:r w:rsidRPr="00EB4C90">
        <w:rPr>
          <w:rFonts w:ascii="Times New Roman" w:hAnsi="Times New Roman" w:cs="Times New Roman"/>
          <w:bCs/>
          <w:i/>
          <w:sz w:val="24"/>
          <w:szCs w:val="24"/>
          <w:shd w:val="clear" w:color="auto" w:fill="FFFFFF"/>
          <w:lang w:val="es-ES"/>
        </w:rPr>
        <w:t>.</w:t>
      </w:r>
      <w:r w:rsidRPr="00EB4C90">
        <w:rPr>
          <w:rFonts w:ascii="Times New Roman" w:hAnsi="Times New Roman" w:cs="Times New Roman"/>
          <w:bCs/>
          <w:sz w:val="24"/>
          <w:szCs w:val="24"/>
          <w:shd w:val="clear" w:color="auto" w:fill="FFFFFF"/>
          <w:lang w:val="es-ES"/>
        </w:rPr>
        <w:t xml:space="preserve"> Madrid. [online] [20 de septiembre de 2014]  http://www.ine.es/prensa/np811.pdf</w:t>
      </w:r>
    </w:p>
    <w:p w:rsidR="00343467" w:rsidRPr="00EB4C90" w:rsidRDefault="00343467" w:rsidP="00EB4C90">
      <w:pPr>
        <w:pStyle w:val="Prrafodelista"/>
        <w:numPr>
          <w:ilvl w:val="0"/>
          <w:numId w:val="2"/>
        </w:numPr>
        <w:autoSpaceDE w:val="0"/>
        <w:autoSpaceDN w:val="0"/>
        <w:adjustRightInd w:val="0"/>
        <w:spacing w:before="120" w:after="120" w:line="360" w:lineRule="auto"/>
        <w:jc w:val="both"/>
        <w:rPr>
          <w:rFonts w:ascii="Times New Roman" w:hAnsi="Times New Roman" w:cs="Times New Roman"/>
          <w:bCs/>
          <w:sz w:val="24"/>
          <w:szCs w:val="24"/>
          <w:shd w:val="clear" w:color="auto" w:fill="FFFFFF"/>
          <w:lang w:val="es-ES"/>
        </w:rPr>
      </w:pPr>
      <w:r w:rsidRPr="00EB4C90">
        <w:rPr>
          <w:rFonts w:ascii="Times New Roman" w:hAnsi="Times New Roman" w:cs="Times New Roman"/>
          <w:bCs/>
          <w:sz w:val="24"/>
          <w:szCs w:val="24"/>
          <w:shd w:val="clear" w:color="auto" w:fill="FFFFFF"/>
          <w:lang w:val="es-ES"/>
        </w:rPr>
        <w:t xml:space="preserve">(2014c). </w:t>
      </w:r>
      <w:r w:rsidRPr="00EB4C90">
        <w:rPr>
          <w:rFonts w:ascii="Times New Roman" w:hAnsi="Times New Roman" w:cs="Times New Roman"/>
          <w:bCs/>
          <w:i/>
          <w:sz w:val="24"/>
          <w:szCs w:val="24"/>
          <w:shd w:val="clear" w:color="auto" w:fill="FFFFFF"/>
          <w:lang w:val="es-ES"/>
        </w:rPr>
        <w:t>Encuesta de Población Activa</w:t>
      </w:r>
      <w:r w:rsidR="00930F4D" w:rsidRPr="00EB4C90">
        <w:rPr>
          <w:rFonts w:ascii="Times New Roman" w:hAnsi="Times New Roman" w:cs="Times New Roman"/>
          <w:bCs/>
          <w:i/>
          <w:sz w:val="24"/>
          <w:szCs w:val="24"/>
          <w:shd w:val="clear" w:color="auto" w:fill="FFFFFF"/>
          <w:lang w:val="es-ES"/>
        </w:rPr>
        <w:t xml:space="preserve"> (EPA)</w:t>
      </w:r>
      <w:r w:rsidRPr="00EB4C90">
        <w:rPr>
          <w:rFonts w:ascii="Times New Roman" w:hAnsi="Times New Roman" w:cs="Times New Roman"/>
          <w:bCs/>
          <w:i/>
          <w:sz w:val="24"/>
          <w:szCs w:val="24"/>
          <w:shd w:val="clear" w:color="auto" w:fill="FFFFFF"/>
          <w:lang w:val="es-ES"/>
        </w:rPr>
        <w:t>.</w:t>
      </w:r>
      <w:r w:rsidRPr="00EB4C90">
        <w:rPr>
          <w:rFonts w:ascii="Times New Roman" w:hAnsi="Times New Roman" w:cs="Times New Roman"/>
          <w:bCs/>
          <w:sz w:val="24"/>
          <w:szCs w:val="24"/>
          <w:shd w:val="clear" w:color="auto" w:fill="FFFFFF"/>
          <w:lang w:val="es-ES"/>
        </w:rPr>
        <w:t xml:space="preserve"> Madrid. [online] [20 de septiembre de 2014]  </w:t>
      </w:r>
      <w:r w:rsidR="00930F4D" w:rsidRPr="00EB4C90">
        <w:rPr>
          <w:rFonts w:ascii="Times New Roman" w:hAnsi="Times New Roman" w:cs="Times New Roman"/>
          <w:bCs/>
          <w:sz w:val="24"/>
          <w:szCs w:val="24"/>
          <w:shd w:val="clear" w:color="auto" w:fill="FFFFFF"/>
          <w:lang w:val="es-ES"/>
        </w:rPr>
        <w:t>http://www.ine.es/</w:t>
      </w:r>
    </w:p>
    <w:p w:rsidR="00930F4D" w:rsidRPr="00EB4C90" w:rsidRDefault="00930F4D" w:rsidP="00EB4C90">
      <w:pPr>
        <w:pStyle w:val="Prrafodelista"/>
        <w:numPr>
          <w:ilvl w:val="0"/>
          <w:numId w:val="2"/>
        </w:numPr>
        <w:autoSpaceDE w:val="0"/>
        <w:autoSpaceDN w:val="0"/>
        <w:adjustRightInd w:val="0"/>
        <w:spacing w:before="120" w:after="120" w:line="360" w:lineRule="auto"/>
        <w:jc w:val="both"/>
        <w:rPr>
          <w:rFonts w:ascii="Times New Roman" w:hAnsi="Times New Roman" w:cs="Times New Roman"/>
          <w:bCs/>
          <w:sz w:val="24"/>
          <w:szCs w:val="24"/>
          <w:shd w:val="clear" w:color="auto" w:fill="FFFFFF"/>
          <w:lang w:val="es-ES"/>
        </w:rPr>
      </w:pPr>
      <w:r w:rsidRPr="00EB4C90">
        <w:rPr>
          <w:rFonts w:ascii="Times New Roman" w:hAnsi="Times New Roman" w:cs="Times New Roman"/>
          <w:bCs/>
          <w:sz w:val="24"/>
          <w:szCs w:val="24"/>
          <w:shd w:val="clear" w:color="auto" w:fill="FFFFFF"/>
          <w:lang w:val="es-ES"/>
        </w:rPr>
        <w:t xml:space="preserve">(2014d). </w:t>
      </w:r>
      <w:r w:rsidRPr="00EB4C90">
        <w:rPr>
          <w:rFonts w:ascii="Times New Roman" w:hAnsi="Times New Roman" w:cs="Times New Roman"/>
          <w:bCs/>
          <w:i/>
          <w:sz w:val="24"/>
          <w:szCs w:val="24"/>
          <w:shd w:val="clear" w:color="auto" w:fill="FFFFFF"/>
          <w:lang w:val="es-ES"/>
        </w:rPr>
        <w:t>Contabilidad Nacional de España (CNE).</w:t>
      </w:r>
      <w:r w:rsidRPr="00EB4C90">
        <w:rPr>
          <w:rFonts w:ascii="Times New Roman" w:hAnsi="Times New Roman" w:cs="Times New Roman"/>
          <w:bCs/>
          <w:sz w:val="24"/>
          <w:szCs w:val="24"/>
          <w:shd w:val="clear" w:color="auto" w:fill="FFFFFF"/>
          <w:lang w:val="es-ES"/>
        </w:rPr>
        <w:t xml:space="preserve"> Madrid. [online] [20 de septiembre de 2014]  http://www.ine.es/</w:t>
      </w:r>
    </w:p>
    <w:p w:rsidR="00930F4D" w:rsidRDefault="00930F4D" w:rsidP="00EB4C90">
      <w:pPr>
        <w:pStyle w:val="Prrafodelista"/>
        <w:numPr>
          <w:ilvl w:val="0"/>
          <w:numId w:val="2"/>
        </w:numPr>
        <w:autoSpaceDE w:val="0"/>
        <w:autoSpaceDN w:val="0"/>
        <w:adjustRightInd w:val="0"/>
        <w:spacing w:before="120" w:after="120" w:line="360" w:lineRule="auto"/>
        <w:jc w:val="both"/>
        <w:rPr>
          <w:rFonts w:ascii="Times New Roman" w:hAnsi="Times New Roman" w:cs="Times New Roman"/>
          <w:bCs/>
          <w:sz w:val="24"/>
          <w:szCs w:val="24"/>
          <w:shd w:val="clear" w:color="auto" w:fill="FFFFFF"/>
          <w:lang w:val="es-ES"/>
        </w:rPr>
      </w:pPr>
      <w:r w:rsidRPr="00EB4C90">
        <w:rPr>
          <w:rFonts w:ascii="Times New Roman" w:hAnsi="Times New Roman" w:cs="Times New Roman"/>
          <w:bCs/>
          <w:sz w:val="24"/>
          <w:szCs w:val="24"/>
          <w:shd w:val="clear" w:color="auto" w:fill="FFFFFF"/>
          <w:lang w:val="es-ES"/>
        </w:rPr>
        <w:t xml:space="preserve">(2014e). </w:t>
      </w:r>
      <w:r w:rsidRPr="00EB4C90">
        <w:rPr>
          <w:rFonts w:ascii="Times New Roman" w:hAnsi="Times New Roman" w:cs="Times New Roman"/>
          <w:bCs/>
          <w:i/>
          <w:sz w:val="24"/>
          <w:szCs w:val="24"/>
          <w:shd w:val="clear" w:color="auto" w:fill="FFFFFF"/>
          <w:lang w:val="es-ES"/>
        </w:rPr>
        <w:t>Índice de Precios de Consumo (IPC).</w:t>
      </w:r>
      <w:r w:rsidRPr="00EB4C90">
        <w:rPr>
          <w:rFonts w:ascii="Times New Roman" w:hAnsi="Times New Roman" w:cs="Times New Roman"/>
          <w:bCs/>
          <w:sz w:val="24"/>
          <w:szCs w:val="24"/>
          <w:shd w:val="clear" w:color="auto" w:fill="FFFFFF"/>
          <w:lang w:val="es-ES"/>
        </w:rPr>
        <w:t xml:space="preserve"> Madrid. [online] [20 de septiembre de 2014]  </w:t>
      </w:r>
      <w:hyperlink r:id="rId13" w:history="1">
        <w:r w:rsidR="00E907DB" w:rsidRPr="000B7472">
          <w:rPr>
            <w:rStyle w:val="Hipervnculo"/>
            <w:rFonts w:ascii="Times New Roman" w:hAnsi="Times New Roman" w:cs="Times New Roman"/>
            <w:bCs/>
            <w:sz w:val="24"/>
            <w:szCs w:val="24"/>
            <w:shd w:val="clear" w:color="auto" w:fill="FFFFFF"/>
            <w:lang w:val="es-ES"/>
          </w:rPr>
          <w:t>http://www.ine.es/</w:t>
        </w:r>
      </w:hyperlink>
    </w:p>
    <w:p w:rsidR="00E907DB" w:rsidRDefault="00E907DB" w:rsidP="00E907DB">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907DB">
        <w:rPr>
          <w:rFonts w:ascii="Times New Roman" w:hAnsi="Times New Roman" w:cs="Times New Roman"/>
          <w:sz w:val="24"/>
          <w:szCs w:val="24"/>
          <w:lang w:val="es-ES"/>
        </w:rPr>
        <w:t xml:space="preserve">Instituto Nacional de </w:t>
      </w:r>
      <w:proofErr w:type="spellStart"/>
      <w:r w:rsidRPr="00E907DB">
        <w:rPr>
          <w:rFonts w:ascii="Times New Roman" w:hAnsi="Times New Roman" w:cs="Times New Roman"/>
          <w:sz w:val="24"/>
          <w:szCs w:val="24"/>
          <w:lang w:val="es-ES"/>
        </w:rPr>
        <w:t>Estatística</w:t>
      </w:r>
      <w:proofErr w:type="spellEnd"/>
      <w:r w:rsidRPr="00E907DB">
        <w:rPr>
          <w:rFonts w:ascii="Times New Roman" w:hAnsi="Times New Roman" w:cs="Times New Roman"/>
          <w:sz w:val="24"/>
          <w:szCs w:val="24"/>
          <w:lang w:val="es-ES"/>
        </w:rPr>
        <w:t xml:space="preserve"> (INE) (2014). </w:t>
      </w:r>
      <w:proofErr w:type="spellStart"/>
      <w:r w:rsidRPr="00E907DB">
        <w:rPr>
          <w:rFonts w:ascii="Times New Roman" w:hAnsi="Times New Roman" w:cs="Times New Roman"/>
          <w:i/>
          <w:sz w:val="24"/>
          <w:szCs w:val="24"/>
          <w:lang w:val="es-ES"/>
        </w:rPr>
        <w:t>Inquérito</w:t>
      </w:r>
      <w:proofErr w:type="spellEnd"/>
      <w:r w:rsidRPr="00E907DB">
        <w:rPr>
          <w:rFonts w:ascii="Times New Roman" w:hAnsi="Times New Roman" w:cs="Times New Roman"/>
          <w:i/>
          <w:sz w:val="24"/>
          <w:szCs w:val="24"/>
          <w:lang w:val="es-ES"/>
        </w:rPr>
        <w:t xml:space="preserve">  </w:t>
      </w:r>
      <w:proofErr w:type="spellStart"/>
      <w:r w:rsidRPr="00E907DB">
        <w:rPr>
          <w:rFonts w:ascii="Times New Roman" w:hAnsi="Times New Roman" w:cs="Times New Roman"/>
          <w:i/>
          <w:sz w:val="24"/>
          <w:szCs w:val="24"/>
          <w:lang w:val="es-ES"/>
        </w:rPr>
        <w:t>às</w:t>
      </w:r>
      <w:proofErr w:type="spellEnd"/>
      <w:r w:rsidRPr="00E907DB">
        <w:rPr>
          <w:rFonts w:ascii="Times New Roman" w:hAnsi="Times New Roman" w:cs="Times New Roman"/>
          <w:i/>
          <w:sz w:val="24"/>
          <w:szCs w:val="24"/>
          <w:lang w:val="es-ES"/>
        </w:rPr>
        <w:t xml:space="preserve">  </w:t>
      </w:r>
      <w:proofErr w:type="spellStart"/>
      <w:r w:rsidRPr="00E907DB">
        <w:rPr>
          <w:rFonts w:ascii="Times New Roman" w:hAnsi="Times New Roman" w:cs="Times New Roman"/>
          <w:i/>
          <w:sz w:val="24"/>
          <w:szCs w:val="24"/>
          <w:lang w:val="es-ES"/>
        </w:rPr>
        <w:t>Condições</w:t>
      </w:r>
      <w:proofErr w:type="spellEnd"/>
      <w:r w:rsidRPr="00E907DB">
        <w:rPr>
          <w:rFonts w:ascii="Times New Roman" w:hAnsi="Times New Roman" w:cs="Times New Roman"/>
          <w:i/>
          <w:sz w:val="24"/>
          <w:szCs w:val="24"/>
          <w:lang w:val="es-ES"/>
        </w:rPr>
        <w:t xml:space="preserve">  de  Vida  e  </w:t>
      </w:r>
      <w:proofErr w:type="spellStart"/>
      <w:r w:rsidRPr="00E907DB">
        <w:rPr>
          <w:rFonts w:ascii="Times New Roman" w:hAnsi="Times New Roman" w:cs="Times New Roman"/>
          <w:i/>
          <w:sz w:val="24"/>
          <w:szCs w:val="24"/>
          <w:lang w:val="es-ES"/>
        </w:rPr>
        <w:t>Rendimento</w:t>
      </w:r>
      <w:proofErr w:type="spellEnd"/>
      <w:r w:rsidRPr="00E907DB">
        <w:rPr>
          <w:rFonts w:ascii="Times New Roman" w:hAnsi="Times New Roman" w:cs="Times New Roman"/>
          <w:i/>
          <w:sz w:val="24"/>
          <w:szCs w:val="24"/>
          <w:lang w:val="es-ES"/>
        </w:rPr>
        <w:t xml:space="preserve"> (ICOR). Destaque 24 de </w:t>
      </w:r>
      <w:proofErr w:type="spellStart"/>
      <w:r w:rsidRPr="00E907DB">
        <w:rPr>
          <w:rFonts w:ascii="Times New Roman" w:hAnsi="Times New Roman" w:cs="Times New Roman"/>
          <w:i/>
          <w:sz w:val="24"/>
          <w:szCs w:val="24"/>
          <w:lang w:val="es-ES"/>
        </w:rPr>
        <w:t>março</w:t>
      </w:r>
      <w:proofErr w:type="spellEnd"/>
      <w:r w:rsidRPr="00E907DB">
        <w:rPr>
          <w:rFonts w:ascii="Times New Roman" w:hAnsi="Times New Roman" w:cs="Times New Roman"/>
          <w:i/>
          <w:sz w:val="24"/>
          <w:szCs w:val="24"/>
          <w:lang w:val="es-ES"/>
        </w:rPr>
        <w:t xml:space="preserve"> de 2014</w:t>
      </w:r>
      <w:r w:rsidRPr="00E907DB">
        <w:rPr>
          <w:rFonts w:ascii="Times New Roman" w:hAnsi="Times New Roman" w:cs="Times New Roman"/>
          <w:sz w:val="24"/>
          <w:szCs w:val="24"/>
          <w:lang w:val="es-ES"/>
        </w:rPr>
        <w:t>. Lisboa. [</w:t>
      </w:r>
      <w:proofErr w:type="spellStart"/>
      <w:proofErr w:type="gramStart"/>
      <w:r w:rsidRPr="00E907DB">
        <w:rPr>
          <w:rFonts w:ascii="Times New Roman" w:hAnsi="Times New Roman" w:cs="Times New Roman"/>
          <w:sz w:val="24"/>
          <w:szCs w:val="24"/>
          <w:lang w:val="es-ES"/>
        </w:rPr>
        <w:t>on</w:t>
      </w:r>
      <w:proofErr w:type="spellEnd"/>
      <w:proofErr w:type="gramEnd"/>
      <w:r w:rsidRPr="00E907DB">
        <w:rPr>
          <w:rFonts w:ascii="Times New Roman" w:hAnsi="Times New Roman" w:cs="Times New Roman"/>
          <w:sz w:val="24"/>
          <w:szCs w:val="24"/>
          <w:lang w:val="es-ES"/>
        </w:rPr>
        <w:t xml:space="preserve"> line][20 de septiembre de 2014]</w:t>
      </w:r>
      <w:r w:rsidR="00090DBD">
        <w:rPr>
          <w:rFonts w:ascii="Times New Roman" w:hAnsi="Times New Roman" w:cs="Times New Roman"/>
          <w:sz w:val="24"/>
          <w:szCs w:val="24"/>
          <w:lang w:val="es-ES"/>
        </w:rPr>
        <w:t xml:space="preserve"> </w:t>
      </w:r>
      <w:r w:rsidRPr="00E907DB">
        <w:rPr>
          <w:rFonts w:ascii="Times New Roman" w:hAnsi="Times New Roman" w:cs="Times New Roman"/>
          <w:sz w:val="24"/>
          <w:szCs w:val="24"/>
          <w:lang w:val="es-ES"/>
        </w:rPr>
        <w:t xml:space="preserve"> </w:t>
      </w:r>
      <w:hyperlink r:id="rId14" w:history="1">
        <w:r w:rsidR="00090DBD" w:rsidRPr="002C11AB">
          <w:rPr>
            <w:rStyle w:val="Hipervnculo"/>
            <w:rFonts w:ascii="Times New Roman" w:hAnsi="Times New Roman" w:cs="Times New Roman"/>
            <w:sz w:val="24"/>
            <w:szCs w:val="24"/>
            <w:lang w:val="es-ES"/>
          </w:rPr>
          <w:t>http://www.ine.pt</w:t>
        </w:r>
      </w:hyperlink>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B4C90">
        <w:rPr>
          <w:rFonts w:ascii="Times New Roman" w:hAnsi="Times New Roman" w:cs="Times New Roman"/>
          <w:sz w:val="24"/>
          <w:szCs w:val="24"/>
          <w:lang w:val="es-ES"/>
        </w:rPr>
        <w:t xml:space="preserve">López i </w:t>
      </w:r>
      <w:proofErr w:type="spellStart"/>
      <w:r w:rsidRPr="00EB4C90">
        <w:rPr>
          <w:rFonts w:ascii="Times New Roman" w:hAnsi="Times New Roman" w:cs="Times New Roman"/>
          <w:sz w:val="24"/>
          <w:szCs w:val="24"/>
          <w:lang w:val="es-ES"/>
        </w:rPr>
        <w:t>Casasnovas</w:t>
      </w:r>
      <w:proofErr w:type="spellEnd"/>
      <w:r w:rsidRPr="00EB4C90">
        <w:rPr>
          <w:rFonts w:ascii="Times New Roman" w:hAnsi="Times New Roman" w:cs="Times New Roman"/>
          <w:sz w:val="24"/>
          <w:szCs w:val="24"/>
          <w:lang w:val="es-ES"/>
        </w:rPr>
        <w:t xml:space="preserve">, G. y </w:t>
      </w:r>
      <w:proofErr w:type="spellStart"/>
      <w:r w:rsidRPr="00EB4C90">
        <w:rPr>
          <w:rFonts w:ascii="Times New Roman" w:hAnsi="Times New Roman" w:cs="Times New Roman"/>
          <w:sz w:val="24"/>
          <w:szCs w:val="24"/>
          <w:lang w:val="es-ES"/>
        </w:rPr>
        <w:t>Padró</w:t>
      </w:r>
      <w:proofErr w:type="spellEnd"/>
      <w:r w:rsidRPr="00EB4C90">
        <w:rPr>
          <w:rFonts w:ascii="Times New Roman" w:hAnsi="Times New Roman" w:cs="Times New Roman"/>
          <w:sz w:val="24"/>
          <w:szCs w:val="24"/>
          <w:lang w:val="es-ES"/>
        </w:rPr>
        <w:t xml:space="preserve"> i Miquel, G. (2000): “</w:t>
      </w:r>
      <w:proofErr w:type="spellStart"/>
      <w:r w:rsidRPr="00EB4C90">
        <w:rPr>
          <w:rFonts w:ascii="Times New Roman" w:hAnsi="Times New Roman" w:cs="Times New Roman"/>
          <w:sz w:val="24"/>
          <w:szCs w:val="24"/>
          <w:lang w:val="es-ES"/>
        </w:rPr>
        <w:t>L’índex</w:t>
      </w:r>
      <w:proofErr w:type="spellEnd"/>
      <w:r w:rsidRPr="00EB4C90">
        <w:rPr>
          <w:rFonts w:ascii="Times New Roman" w:hAnsi="Times New Roman" w:cs="Times New Roman"/>
          <w:sz w:val="24"/>
          <w:szCs w:val="24"/>
          <w:lang w:val="es-ES"/>
        </w:rPr>
        <w:t xml:space="preserve"> de </w:t>
      </w:r>
      <w:proofErr w:type="spellStart"/>
      <w:r w:rsidRPr="00EB4C90">
        <w:rPr>
          <w:rFonts w:ascii="Times New Roman" w:hAnsi="Times New Roman" w:cs="Times New Roman"/>
          <w:sz w:val="24"/>
          <w:szCs w:val="24"/>
          <w:lang w:val="es-ES"/>
        </w:rPr>
        <w:t>capacitats</w:t>
      </w:r>
      <w:proofErr w:type="spellEnd"/>
      <w:r w:rsidRPr="00EB4C90">
        <w:rPr>
          <w:rFonts w:ascii="Times New Roman" w:hAnsi="Times New Roman" w:cs="Times New Roman"/>
          <w:sz w:val="24"/>
          <w:szCs w:val="24"/>
          <w:lang w:val="es-ES"/>
        </w:rPr>
        <w:t xml:space="preserve"> </w:t>
      </w:r>
      <w:proofErr w:type="spellStart"/>
      <w:r w:rsidRPr="00EB4C90">
        <w:rPr>
          <w:rFonts w:ascii="Times New Roman" w:hAnsi="Times New Roman" w:cs="Times New Roman"/>
          <w:sz w:val="24"/>
          <w:szCs w:val="24"/>
          <w:lang w:val="es-ES"/>
        </w:rPr>
        <w:t>territorials</w:t>
      </w:r>
      <w:proofErr w:type="spellEnd"/>
      <w:r w:rsidRPr="00EB4C90">
        <w:rPr>
          <w:rFonts w:ascii="Times New Roman" w:hAnsi="Times New Roman" w:cs="Times New Roman"/>
          <w:sz w:val="24"/>
          <w:szCs w:val="24"/>
          <w:lang w:val="es-ES"/>
        </w:rPr>
        <w:t xml:space="preserve"> de compra i </w:t>
      </w:r>
      <w:proofErr w:type="spellStart"/>
      <w:r w:rsidRPr="00EB4C90">
        <w:rPr>
          <w:rFonts w:ascii="Times New Roman" w:hAnsi="Times New Roman" w:cs="Times New Roman"/>
          <w:sz w:val="24"/>
          <w:szCs w:val="24"/>
          <w:lang w:val="es-ES"/>
        </w:rPr>
        <w:t>l’espai</w:t>
      </w:r>
      <w:proofErr w:type="spellEnd"/>
      <w:r w:rsidRPr="00EB4C90">
        <w:rPr>
          <w:rFonts w:ascii="Times New Roman" w:hAnsi="Times New Roman" w:cs="Times New Roman"/>
          <w:sz w:val="24"/>
          <w:szCs w:val="24"/>
          <w:lang w:val="es-ES"/>
        </w:rPr>
        <w:t xml:space="preserve"> social de Catalunya”, </w:t>
      </w:r>
      <w:r w:rsidRPr="00EB4C90">
        <w:rPr>
          <w:rFonts w:ascii="Times New Roman" w:hAnsi="Times New Roman" w:cs="Times New Roman"/>
          <w:i/>
          <w:sz w:val="24"/>
          <w:szCs w:val="24"/>
          <w:lang w:val="es-ES"/>
        </w:rPr>
        <w:t>El Clip</w:t>
      </w:r>
      <w:r w:rsidRPr="00EB4C90">
        <w:rPr>
          <w:rFonts w:ascii="Times New Roman" w:hAnsi="Times New Roman" w:cs="Times New Roman"/>
          <w:sz w:val="24"/>
          <w:szCs w:val="24"/>
          <w:lang w:val="es-ES"/>
        </w:rPr>
        <w:t xml:space="preserve">; nº 6; pág. 12. </w:t>
      </w:r>
      <w:proofErr w:type="spellStart"/>
      <w:r w:rsidRPr="00EB4C90">
        <w:rPr>
          <w:rFonts w:ascii="Times New Roman" w:hAnsi="Times New Roman" w:cs="Times New Roman"/>
          <w:sz w:val="24"/>
          <w:szCs w:val="24"/>
          <w:lang w:val="es-ES"/>
        </w:rPr>
        <w:t>Institut</w:t>
      </w:r>
      <w:proofErr w:type="spellEnd"/>
      <w:r w:rsidRPr="00EB4C90">
        <w:rPr>
          <w:rFonts w:ascii="Times New Roman" w:hAnsi="Times New Roman" w:cs="Times New Roman"/>
          <w:sz w:val="24"/>
          <w:szCs w:val="24"/>
          <w:lang w:val="es-ES"/>
        </w:rPr>
        <w:t xml:space="preserve"> </w:t>
      </w:r>
      <w:proofErr w:type="spellStart"/>
      <w:r w:rsidRPr="00EB4C90">
        <w:rPr>
          <w:rFonts w:ascii="Times New Roman" w:hAnsi="Times New Roman" w:cs="Times New Roman"/>
          <w:sz w:val="24"/>
          <w:szCs w:val="24"/>
          <w:lang w:val="es-ES"/>
        </w:rPr>
        <w:t>d'Estudis</w:t>
      </w:r>
      <w:proofErr w:type="spellEnd"/>
      <w:r w:rsidRPr="00EB4C90">
        <w:rPr>
          <w:rFonts w:ascii="Times New Roman" w:hAnsi="Times New Roman" w:cs="Times New Roman"/>
          <w:sz w:val="24"/>
          <w:szCs w:val="24"/>
          <w:lang w:val="es-ES"/>
        </w:rPr>
        <w:t xml:space="preserve"> </w:t>
      </w:r>
      <w:proofErr w:type="spellStart"/>
      <w:r w:rsidRPr="00EB4C90">
        <w:rPr>
          <w:rFonts w:ascii="Times New Roman" w:hAnsi="Times New Roman" w:cs="Times New Roman"/>
          <w:sz w:val="24"/>
          <w:szCs w:val="24"/>
          <w:lang w:val="es-ES"/>
        </w:rPr>
        <w:t>Autonòmics</w:t>
      </w:r>
      <w:proofErr w:type="spellEnd"/>
      <w:r w:rsidRPr="00EB4C90">
        <w:rPr>
          <w:rFonts w:ascii="Times New Roman" w:hAnsi="Times New Roman" w:cs="Times New Roman"/>
          <w:sz w:val="24"/>
          <w:szCs w:val="24"/>
          <w:lang w:val="es-ES"/>
        </w:rPr>
        <w:t>, Generalitat de Catalunya. Abril 2000.</w:t>
      </w:r>
    </w:p>
    <w:p w:rsidR="00343467" w:rsidRPr="00EB4C90" w:rsidRDefault="00343467"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B4C90">
        <w:rPr>
          <w:rFonts w:ascii="Times New Roman" w:hAnsi="Times New Roman" w:cs="Times New Roman"/>
          <w:sz w:val="24"/>
          <w:szCs w:val="24"/>
          <w:lang w:val="es-ES"/>
        </w:rPr>
        <w:lastRenderedPageBreak/>
        <w:t xml:space="preserve">Ortega, E. y Peñalosa, J. (2012): “Claves de la crisis económica española y retos para crecer en la UEM”. </w:t>
      </w:r>
      <w:r w:rsidRPr="00EB4C90">
        <w:rPr>
          <w:rFonts w:ascii="Times New Roman" w:hAnsi="Times New Roman" w:cs="Times New Roman"/>
          <w:i/>
          <w:sz w:val="24"/>
          <w:szCs w:val="24"/>
          <w:lang w:val="es-ES"/>
        </w:rPr>
        <w:t>Documentos Ocasionales,</w:t>
      </w:r>
      <w:r w:rsidRPr="00EB4C90">
        <w:rPr>
          <w:rFonts w:ascii="Times New Roman" w:hAnsi="Times New Roman" w:cs="Times New Roman"/>
          <w:sz w:val="24"/>
          <w:szCs w:val="24"/>
          <w:lang w:val="es-ES"/>
        </w:rPr>
        <w:t xml:space="preserve"> n</w:t>
      </w:r>
      <w:proofErr w:type="gramStart"/>
      <w:r w:rsidRPr="00EB4C90">
        <w:rPr>
          <w:rFonts w:ascii="Times New Roman" w:hAnsi="Times New Roman" w:cs="Times New Roman"/>
          <w:sz w:val="24"/>
          <w:szCs w:val="24"/>
          <w:lang w:val="es-ES"/>
        </w:rPr>
        <w:t>.º</w:t>
      </w:r>
      <w:proofErr w:type="gramEnd"/>
      <w:r w:rsidRPr="00EB4C90">
        <w:rPr>
          <w:rFonts w:ascii="Times New Roman" w:hAnsi="Times New Roman" w:cs="Times New Roman"/>
          <w:sz w:val="24"/>
          <w:szCs w:val="24"/>
          <w:lang w:val="es-ES"/>
        </w:rPr>
        <w:t xml:space="preserve"> 1201. Banco de España.</w:t>
      </w:r>
    </w:p>
    <w:p w:rsidR="00343467" w:rsidRDefault="00343467" w:rsidP="00EB4C90">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sidRPr="00EB4C90">
        <w:rPr>
          <w:rFonts w:ascii="Times New Roman" w:hAnsi="Times New Roman" w:cs="Times New Roman"/>
          <w:sz w:val="24"/>
          <w:szCs w:val="24"/>
          <w:lang w:val="es-ES"/>
        </w:rPr>
        <w:t xml:space="preserve">Olmedo, M. y Monje, J. (2012). “El miedo que nos genera la crisis económica”. </w:t>
      </w:r>
      <w:r w:rsidRPr="00EB4C90">
        <w:rPr>
          <w:rFonts w:ascii="Times New Roman" w:hAnsi="Times New Roman" w:cs="Times New Roman"/>
          <w:i/>
          <w:sz w:val="24"/>
          <w:szCs w:val="24"/>
          <w:lang w:val="es-ES"/>
        </w:rPr>
        <w:t>Crítica.</w:t>
      </w:r>
      <w:r w:rsidRPr="00EB4C90">
        <w:rPr>
          <w:rFonts w:ascii="Times New Roman" w:hAnsi="Times New Roman" w:cs="Times New Roman"/>
          <w:sz w:val="24"/>
          <w:szCs w:val="24"/>
          <w:lang w:val="es-ES"/>
        </w:rPr>
        <w:t xml:space="preserve"> nº 977; Enero-Febrero 2012; pp. 28-32. </w:t>
      </w:r>
      <w:r w:rsidR="00E72219" w:rsidRPr="00E72219">
        <w:rPr>
          <w:rFonts w:ascii="Times New Roman" w:hAnsi="Times New Roman" w:cs="Times New Roman"/>
          <w:sz w:val="24"/>
          <w:szCs w:val="24"/>
          <w:lang w:val="es-ES"/>
        </w:rPr>
        <w:t>http://www.revista-critica.com/administrator/components/com_avzrevistas/pdfs/b40f43b87126d30bbd298d1b14c86d45-977-Repaso-a-nuestros-miedos---ene.feb.%202012.pdf#page=28</w:t>
      </w:r>
    </w:p>
    <w:p w:rsidR="00D537B1" w:rsidRPr="00D40766" w:rsidRDefault="00E72219" w:rsidP="00FB6856">
      <w:pPr>
        <w:autoSpaceDE w:val="0"/>
        <w:autoSpaceDN w:val="0"/>
        <w:adjustRightInd w:val="0"/>
        <w:spacing w:before="120" w:after="120" w:line="360" w:lineRule="auto"/>
        <w:ind w:left="720" w:hanging="720"/>
        <w:jc w:val="both"/>
        <w:rPr>
          <w:rFonts w:ascii="Times New Roman" w:hAnsi="Times New Roman" w:cs="Times New Roman"/>
          <w:sz w:val="24"/>
          <w:szCs w:val="24"/>
          <w:lang w:val="en-US"/>
        </w:rPr>
      </w:pPr>
      <w:proofErr w:type="spellStart"/>
      <w:proofErr w:type="gramStart"/>
      <w:r w:rsidRPr="00D40766">
        <w:rPr>
          <w:rFonts w:ascii="Times New Roman" w:hAnsi="Times New Roman" w:cs="Times New Roman"/>
          <w:sz w:val="24"/>
          <w:szCs w:val="24"/>
          <w:lang w:val="en-US"/>
        </w:rPr>
        <w:t>Ravallion</w:t>
      </w:r>
      <w:proofErr w:type="spellEnd"/>
      <w:r w:rsidRPr="00D40766">
        <w:rPr>
          <w:rFonts w:ascii="Times New Roman" w:hAnsi="Times New Roman" w:cs="Times New Roman"/>
          <w:sz w:val="24"/>
          <w:szCs w:val="24"/>
          <w:lang w:val="en-US"/>
        </w:rPr>
        <w:t>, M. (2010).</w:t>
      </w:r>
      <w:proofErr w:type="gramEnd"/>
      <w:r w:rsidRPr="00D40766">
        <w:rPr>
          <w:rFonts w:ascii="Times New Roman" w:hAnsi="Times New Roman" w:cs="Times New Roman"/>
          <w:sz w:val="24"/>
          <w:szCs w:val="24"/>
          <w:lang w:val="en-US"/>
        </w:rPr>
        <w:t xml:space="preserve"> </w:t>
      </w:r>
      <w:proofErr w:type="gramStart"/>
      <w:r w:rsidRPr="00D40766">
        <w:rPr>
          <w:rFonts w:ascii="Times New Roman" w:hAnsi="Times New Roman" w:cs="Times New Roman"/>
          <w:sz w:val="24"/>
          <w:szCs w:val="24"/>
          <w:lang w:val="en-US"/>
        </w:rPr>
        <w:t>Poverty lines across the world.</w:t>
      </w:r>
      <w:proofErr w:type="gramEnd"/>
      <w:r w:rsidRPr="00D40766">
        <w:rPr>
          <w:rFonts w:ascii="Times New Roman" w:hAnsi="Times New Roman" w:cs="Times New Roman"/>
          <w:sz w:val="24"/>
          <w:szCs w:val="24"/>
          <w:lang w:val="en-US"/>
        </w:rPr>
        <w:t xml:space="preserve"> </w:t>
      </w:r>
      <w:r w:rsidRPr="00D40766">
        <w:rPr>
          <w:rFonts w:ascii="Times New Roman" w:hAnsi="Times New Roman" w:cs="Times New Roman"/>
          <w:i/>
          <w:sz w:val="24"/>
          <w:szCs w:val="24"/>
          <w:lang w:val="en-US"/>
        </w:rPr>
        <w:t>Policy Research Working Paper Series,</w:t>
      </w:r>
      <w:r w:rsidRPr="00D40766">
        <w:rPr>
          <w:rFonts w:ascii="Times New Roman" w:hAnsi="Times New Roman" w:cs="Times New Roman"/>
          <w:sz w:val="24"/>
          <w:szCs w:val="24"/>
          <w:lang w:val="en-US"/>
        </w:rPr>
        <w:t xml:space="preserve"> Vol. 5284</w:t>
      </w:r>
      <w:r w:rsidR="00D537B1" w:rsidRPr="00D40766">
        <w:rPr>
          <w:rFonts w:ascii="Times New Roman" w:hAnsi="Times New Roman" w:cs="Times New Roman"/>
          <w:sz w:val="24"/>
          <w:szCs w:val="24"/>
          <w:lang w:val="en-US"/>
        </w:rPr>
        <w:t xml:space="preserve">. </w:t>
      </w:r>
      <w:proofErr w:type="gramStart"/>
      <w:r w:rsidR="00D537B1" w:rsidRPr="00D40766">
        <w:rPr>
          <w:rFonts w:ascii="Times New Roman" w:hAnsi="Times New Roman" w:cs="Times New Roman"/>
          <w:sz w:val="24"/>
          <w:szCs w:val="24"/>
          <w:lang w:val="en-US"/>
        </w:rPr>
        <w:t>World Bank</w:t>
      </w:r>
      <w:r w:rsidRPr="00D40766">
        <w:rPr>
          <w:rFonts w:ascii="Times New Roman" w:hAnsi="Times New Roman" w:cs="Times New Roman"/>
          <w:sz w:val="24"/>
          <w:szCs w:val="24"/>
          <w:lang w:val="en-US"/>
        </w:rPr>
        <w:t xml:space="preserve">, </w:t>
      </w:r>
      <w:proofErr w:type="spellStart"/>
      <w:r w:rsidRPr="00D40766">
        <w:rPr>
          <w:rFonts w:ascii="Times New Roman" w:hAnsi="Times New Roman" w:cs="Times New Roman"/>
          <w:sz w:val="24"/>
          <w:szCs w:val="24"/>
          <w:lang w:val="en-US"/>
        </w:rPr>
        <w:t>abril</w:t>
      </w:r>
      <w:proofErr w:type="spellEnd"/>
      <w:r w:rsidRPr="00D40766">
        <w:rPr>
          <w:rFonts w:ascii="Times New Roman" w:hAnsi="Times New Roman" w:cs="Times New Roman"/>
          <w:sz w:val="24"/>
          <w:szCs w:val="24"/>
          <w:lang w:val="en-US"/>
        </w:rPr>
        <w:t xml:space="preserve"> 2010.</w:t>
      </w:r>
      <w:proofErr w:type="gramEnd"/>
    </w:p>
    <w:p w:rsidR="00E72219" w:rsidRPr="00D40766" w:rsidRDefault="00E72219" w:rsidP="00FB6856">
      <w:pPr>
        <w:autoSpaceDE w:val="0"/>
        <w:autoSpaceDN w:val="0"/>
        <w:adjustRightInd w:val="0"/>
        <w:spacing w:before="120" w:after="120" w:line="360" w:lineRule="auto"/>
        <w:ind w:left="720" w:hanging="720"/>
        <w:jc w:val="both"/>
        <w:rPr>
          <w:rFonts w:ascii="Times New Roman" w:hAnsi="Times New Roman" w:cs="Times New Roman"/>
          <w:sz w:val="24"/>
          <w:szCs w:val="24"/>
          <w:lang w:val="en-US"/>
        </w:rPr>
      </w:pPr>
      <w:proofErr w:type="spellStart"/>
      <w:r w:rsidRPr="00D40766">
        <w:rPr>
          <w:rFonts w:ascii="Times New Roman" w:hAnsi="Times New Roman" w:cs="Times New Roman"/>
          <w:sz w:val="24"/>
          <w:szCs w:val="24"/>
          <w:lang w:val="en-US"/>
        </w:rPr>
        <w:t>Ravallion</w:t>
      </w:r>
      <w:proofErr w:type="spellEnd"/>
      <w:r w:rsidRPr="00D40766">
        <w:rPr>
          <w:rFonts w:ascii="Times New Roman" w:hAnsi="Times New Roman" w:cs="Times New Roman"/>
          <w:sz w:val="24"/>
          <w:szCs w:val="24"/>
          <w:lang w:val="en-US"/>
        </w:rPr>
        <w:t xml:space="preserve">, M., y Chen, S. (2011). </w:t>
      </w:r>
      <w:proofErr w:type="gramStart"/>
      <w:r w:rsidRPr="00D40766">
        <w:rPr>
          <w:rFonts w:ascii="Times New Roman" w:hAnsi="Times New Roman" w:cs="Times New Roman"/>
          <w:sz w:val="24"/>
          <w:szCs w:val="24"/>
          <w:lang w:val="en-US"/>
        </w:rPr>
        <w:t>“Weakly relative poverty”.</w:t>
      </w:r>
      <w:proofErr w:type="gramEnd"/>
      <w:r w:rsidRPr="00D40766">
        <w:rPr>
          <w:rFonts w:ascii="Times New Roman" w:hAnsi="Times New Roman" w:cs="Times New Roman"/>
          <w:sz w:val="24"/>
          <w:szCs w:val="24"/>
          <w:lang w:val="en-US"/>
        </w:rPr>
        <w:t xml:space="preserve"> </w:t>
      </w:r>
      <w:r w:rsidRPr="00D40766">
        <w:rPr>
          <w:rFonts w:ascii="Times New Roman" w:hAnsi="Times New Roman" w:cs="Times New Roman"/>
          <w:i/>
          <w:sz w:val="24"/>
          <w:szCs w:val="24"/>
          <w:lang w:val="en-US"/>
        </w:rPr>
        <w:t>The Review of Economics and Statistics</w:t>
      </w:r>
      <w:r w:rsidRPr="00D40766">
        <w:rPr>
          <w:rFonts w:ascii="Times New Roman" w:hAnsi="Times New Roman" w:cs="Times New Roman"/>
          <w:sz w:val="24"/>
          <w:szCs w:val="24"/>
          <w:lang w:val="en-US"/>
        </w:rPr>
        <w:t>, vol. 93, nº 4, pp. 1251-1261.</w:t>
      </w:r>
    </w:p>
    <w:p w:rsidR="00FB6856" w:rsidRPr="00EB4C90" w:rsidRDefault="00FB6856" w:rsidP="00FB6856">
      <w:pPr>
        <w:autoSpaceDE w:val="0"/>
        <w:autoSpaceDN w:val="0"/>
        <w:adjustRightInd w:val="0"/>
        <w:spacing w:before="120" w:after="120"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Rodríguez</w:t>
      </w:r>
      <w:r w:rsidRPr="00FB6856">
        <w:rPr>
          <w:rFonts w:ascii="Times New Roman" w:hAnsi="Times New Roman" w:cs="Times New Roman"/>
          <w:sz w:val="24"/>
          <w:szCs w:val="24"/>
          <w:lang w:val="es-ES"/>
        </w:rPr>
        <w:t>, S. González. C. y Rodríguez, A.</w:t>
      </w:r>
      <w:r>
        <w:rPr>
          <w:rFonts w:ascii="Times New Roman" w:hAnsi="Times New Roman" w:cs="Times New Roman"/>
          <w:sz w:val="24"/>
          <w:szCs w:val="24"/>
          <w:lang w:val="es-ES"/>
        </w:rPr>
        <w:t xml:space="preserve"> </w:t>
      </w:r>
      <w:r w:rsidRPr="00FB6856">
        <w:rPr>
          <w:rFonts w:ascii="Times New Roman" w:hAnsi="Times New Roman" w:cs="Times New Roman"/>
          <w:sz w:val="24"/>
          <w:szCs w:val="24"/>
          <w:lang w:val="es-ES"/>
        </w:rPr>
        <w:t>(</w:t>
      </w:r>
      <w:r>
        <w:rPr>
          <w:rFonts w:ascii="Times New Roman" w:hAnsi="Times New Roman" w:cs="Times New Roman"/>
          <w:sz w:val="24"/>
          <w:szCs w:val="24"/>
          <w:lang w:val="es-ES"/>
        </w:rPr>
        <w:t xml:space="preserve">2002): </w:t>
      </w:r>
      <w:r w:rsidRPr="00FB6856">
        <w:rPr>
          <w:rFonts w:ascii="Times New Roman" w:hAnsi="Times New Roman" w:cs="Times New Roman"/>
          <w:sz w:val="24"/>
          <w:szCs w:val="24"/>
          <w:lang w:val="es-ES"/>
        </w:rPr>
        <w:t>"La Teoría de la Paridad Relativa del Poder de Compra entre Territorios Económicos que Tienen una Misma Moneda: Una Aplicación a las Comunidades Autónomas Españolas</w:t>
      </w:r>
      <w:r>
        <w:rPr>
          <w:rFonts w:ascii="Times New Roman" w:hAnsi="Times New Roman" w:cs="Times New Roman"/>
          <w:sz w:val="24"/>
          <w:szCs w:val="24"/>
          <w:lang w:val="es-ES"/>
        </w:rPr>
        <w:t>”</w:t>
      </w:r>
      <w:r w:rsidRPr="00FB6856">
        <w:rPr>
          <w:rFonts w:ascii="Times New Roman" w:hAnsi="Times New Roman" w:cs="Times New Roman"/>
          <w:sz w:val="24"/>
          <w:szCs w:val="24"/>
          <w:lang w:val="es-ES"/>
        </w:rPr>
        <w:t xml:space="preserve">. </w:t>
      </w:r>
      <w:r w:rsidRPr="00FB6856">
        <w:rPr>
          <w:rFonts w:ascii="Times New Roman" w:hAnsi="Times New Roman" w:cs="Times New Roman"/>
          <w:i/>
          <w:sz w:val="24"/>
          <w:szCs w:val="24"/>
          <w:lang w:val="es-ES"/>
        </w:rPr>
        <w:t>Estadística Española,</w:t>
      </w:r>
      <w:r>
        <w:rPr>
          <w:rFonts w:ascii="Times New Roman" w:hAnsi="Times New Roman" w:cs="Times New Roman"/>
          <w:sz w:val="24"/>
          <w:szCs w:val="24"/>
          <w:lang w:val="es-ES"/>
        </w:rPr>
        <w:t xml:space="preserve"> vol. 44, nº</w:t>
      </w:r>
      <w:r w:rsidRPr="00FB6856">
        <w:rPr>
          <w:rFonts w:ascii="Times New Roman" w:hAnsi="Times New Roman" w:cs="Times New Roman"/>
          <w:sz w:val="24"/>
          <w:szCs w:val="24"/>
          <w:lang w:val="es-ES"/>
        </w:rPr>
        <w:t xml:space="preserve"> 150, p</w:t>
      </w:r>
      <w:r>
        <w:rPr>
          <w:rFonts w:ascii="Times New Roman" w:hAnsi="Times New Roman" w:cs="Times New Roman"/>
          <w:sz w:val="24"/>
          <w:szCs w:val="24"/>
          <w:lang w:val="es-ES"/>
        </w:rPr>
        <w:t>p</w:t>
      </w:r>
      <w:r w:rsidRPr="00FB6856">
        <w:rPr>
          <w:rFonts w:ascii="Times New Roman" w:hAnsi="Times New Roman" w:cs="Times New Roman"/>
          <w:sz w:val="24"/>
          <w:szCs w:val="24"/>
          <w:lang w:val="es-ES"/>
        </w:rPr>
        <w:t>. 229-256.</w:t>
      </w:r>
    </w:p>
    <w:p w:rsidR="00930F4D" w:rsidRPr="00FB6856" w:rsidRDefault="00343467" w:rsidP="00FB6856">
      <w:pPr>
        <w:pStyle w:val="Prrafodelista"/>
        <w:numPr>
          <w:ilvl w:val="0"/>
          <w:numId w:val="2"/>
        </w:numPr>
        <w:autoSpaceDE w:val="0"/>
        <w:autoSpaceDN w:val="0"/>
        <w:adjustRightInd w:val="0"/>
        <w:spacing w:before="120" w:after="120" w:line="360" w:lineRule="auto"/>
        <w:jc w:val="both"/>
        <w:rPr>
          <w:rFonts w:ascii="Times New Roman" w:hAnsi="Times New Roman" w:cs="Times New Roman"/>
          <w:sz w:val="24"/>
          <w:szCs w:val="24"/>
          <w:lang w:val="es-ES"/>
        </w:rPr>
      </w:pPr>
      <w:r w:rsidRPr="00FB6856">
        <w:rPr>
          <w:rFonts w:ascii="Times New Roman" w:hAnsi="Times New Roman" w:cs="Times New Roman"/>
          <w:sz w:val="24"/>
          <w:szCs w:val="24"/>
          <w:lang w:val="es-ES"/>
        </w:rPr>
        <w:t xml:space="preserve">(2004) “¿Cómo medir los cambios en la Paridad de Poder de Compra a partir de los Índices de Precios de Consumo y los Tipos de Cambio?” </w:t>
      </w:r>
      <w:r w:rsidRPr="00FB6856">
        <w:rPr>
          <w:rFonts w:ascii="Times New Roman" w:hAnsi="Times New Roman" w:cs="Times New Roman"/>
          <w:i/>
          <w:sz w:val="24"/>
          <w:szCs w:val="24"/>
          <w:lang w:val="es-ES"/>
        </w:rPr>
        <w:t>Estadística Española;</w:t>
      </w:r>
      <w:r w:rsidRPr="00FB6856">
        <w:rPr>
          <w:rFonts w:ascii="Times New Roman" w:hAnsi="Times New Roman" w:cs="Times New Roman"/>
          <w:sz w:val="24"/>
          <w:szCs w:val="24"/>
          <w:lang w:val="es-ES"/>
        </w:rPr>
        <w:t xml:space="preserve"> Vol. 46, Núm. 157, 2004, págs</w:t>
      </w:r>
      <w:r w:rsidR="00930F4D" w:rsidRPr="00FB6856">
        <w:rPr>
          <w:rFonts w:ascii="Times New Roman" w:hAnsi="Times New Roman" w:cs="Times New Roman"/>
          <w:sz w:val="24"/>
          <w:szCs w:val="24"/>
          <w:lang w:val="es-ES"/>
        </w:rPr>
        <w:t>. 489 a 510.</w:t>
      </w:r>
    </w:p>
    <w:p w:rsidR="00FB6856" w:rsidRPr="00D40766" w:rsidRDefault="00B64145" w:rsidP="007270CD">
      <w:pPr>
        <w:autoSpaceDE w:val="0"/>
        <w:autoSpaceDN w:val="0"/>
        <w:adjustRightInd w:val="0"/>
        <w:spacing w:before="120" w:after="120" w:line="360" w:lineRule="auto"/>
        <w:ind w:left="720" w:hanging="720"/>
        <w:jc w:val="both"/>
        <w:rPr>
          <w:rFonts w:ascii="Times New Roman" w:hAnsi="Times New Roman" w:cs="Times New Roman"/>
          <w:sz w:val="24"/>
          <w:szCs w:val="24"/>
          <w:lang w:val="en-US"/>
        </w:rPr>
      </w:pPr>
      <w:r w:rsidRPr="00EB4C90">
        <w:rPr>
          <w:rFonts w:ascii="Times New Roman" w:hAnsi="Times New Roman" w:cs="Times New Roman"/>
          <w:sz w:val="24"/>
          <w:szCs w:val="24"/>
          <w:lang w:val="es-ES"/>
        </w:rPr>
        <w:t xml:space="preserve">Rubiera, F., </w:t>
      </w:r>
      <w:proofErr w:type="spellStart"/>
      <w:r w:rsidRPr="00EB4C90">
        <w:rPr>
          <w:rFonts w:ascii="Times New Roman" w:hAnsi="Times New Roman" w:cs="Times New Roman"/>
          <w:sz w:val="24"/>
          <w:szCs w:val="24"/>
          <w:lang w:val="es-ES"/>
        </w:rPr>
        <w:t>Lasarte</w:t>
      </w:r>
      <w:proofErr w:type="spellEnd"/>
      <w:r w:rsidRPr="00EB4C90">
        <w:rPr>
          <w:rFonts w:ascii="Times New Roman" w:hAnsi="Times New Roman" w:cs="Times New Roman"/>
          <w:sz w:val="24"/>
          <w:szCs w:val="24"/>
          <w:lang w:val="es-ES"/>
        </w:rPr>
        <w:t xml:space="preserve">, E. y Fernández, E. (2013): “Efectos de los incrementos del coste de vida sobre el mapa de la pobreza en España”, </w:t>
      </w:r>
      <w:r w:rsidRPr="00EB4C90">
        <w:rPr>
          <w:rFonts w:ascii="Times New Roman" w:hAnsi="Times New Roman" w:cs="Times New Roman"/>
          <w:i/>
          <w:sz w:val="24"/>
          <w:szCs w:val="24"/>
          <w:lang w:val="es-ES"/>
        </w:rPr>
        <w:t>Papeles de Economía Española</w:t>
      </w:r>
      <w:r w:rsidRPr="00EB4C90">
        <w:rPr>
          <w:rFonts w:ascii="Times New Roman" w:hAnsi="Times New Roman" w:cs="Times New Roman"/>
          <w:sz w:val="24"/>
          <w:szCs w:val="24"/>
          <w:lang w:val="es-ES"/>
        </w:rPr>
        <w:t>, nº 138, pp. 114-128, diciembre</w:t>
      </w:r>
      <w:r w:rsidRPr="00EB4C90">
        <w:rPr>
          <w:rFonts w:ascii="Times New Roman" w:hAnsi="Times New Roman" w:cs="Times New Roman"/>
          <w:sz w:val="24"/>
          <w:szCs w:val="24"/>
        </w:rPr>
        <w:t xml:space="preserve"> </w:t>
      </w:r>
      <w:r w:rsidRPr="00EB4C90">
        <w:rPr>
          <w:rFonts w:ascii="Times New Roman" w:hAnsi="Times New Roman" w:cs="Times New Roman"/>
          <w:sz w:val="24"/>
          <w:szCs w:val="24"/>
          <w:lang w:val="es-ES"/>
        </w:rPr>
        <w:t xml:space="preserve">2013. </w:t>
      </w:r>
      <w:r w:rsidRPr="00D40766">
        <w:rPr>
          <w:rFonts w:ascii="Times New Roman" w:hAnsi="Times New Roman" w:cs="Times New Roman"/>
          <w:sz w:val="24"/>
          <w:szCs w:val="24"/>
          <w:lang w:val="en-US"/>
        </w:rPr>
        <w:t>ISSN: 0210-9107.</w:t>
      </w:r>
    </w:p>
    <w:p w:rsidR="00206BDE" w:rsidRPr="00135A41" w:rsidRDefault="00206BDE" w:rsidP="007270CD">
      <w:pPr>
        <w:autoSpaceDE w:val="0"/>
        <w:autoSpaceDN w:val="0"/>
        <w:adjustRightInd w:val="0"/>
        <w:spacing w:before="120" w:after="120" w:line="360" w:lineRule="auto"/>
        <w:ind w:left="720" w:hanging="720"/>
        <w:jc w:val="both"/>
        <w:rPr>
          <w:rFonts w:ascii="Times New Roman" w:hAnsi="Times New Roman" w:cs="Times New Roman"/>
          <w:sz w:val="24"/>
          <w:szCs w:val="24"/>
          <w:lang w:val="en-US"/>
        </w:rPr>
      </w:pPr>
      <w:r w:rsidRPr="00135A41">
        <w:rPr>
          <w:rFonts w:ascii="Times New Roman" w:hAnsi="Times New Roman" w:cs="Times New Roman"/>
          <w:sz w:val="24"/>
          <w:szCs w:val="24"/>
          <w:lang w:val="en-US"/>
        </w:rPr>
        <w:t xml:space="preserve">Sen, A. (1983): Poor, relatively speaking. </w:t>
      </w:r>
      <w:r w:rsidRPr="00135A41">
        <w:rPr>
          <w:rFonts w:ascii="Times New Roman" w:hAnsi="Times New Roman" w:cs="Times New Roman"/>
          <w:i/>
          <w:sz w:val="24"/>
          <w:szCs w:val="24"/>
          <w:lang w:val="en-US"/>
        </w:rPr>
        <w:t>Oxford economic papers,</w:t>
      </w:r>
      <w:r w:rsidRPr="00135A41">
        <w:rPr>
          <w:rFonts w:ascii="Times New Roman" w:hAnsi="Times New Roman" w:cs="Times New Roman"/>
          <w:sz w:val="24"/>
          <w:szCs w:val="24"/>
          <w:lang w:val="en-US"/>
        </w:rPr>
        <w:t xml:space="preserve"> 1983, pp. 153-169</w:t>
      </w:r>
    </w:p>
    <w:p w:rsidR="00DC177A" w:rsidRPr="002D3760" w:rsidRDefault="00DC177A" w:rsidP="007270CD">
      <w:pPr>
        <w:autoSpaceDE w:val="0"/>
        <w:autoSpaceDN w:val="0"/>
        <w:adjustRightInd w:val="0"/>
        <w:spacing w:before="120" w:after="120" w:line="360" w:lineRule="auto"/>
        <w:ind w:left="720" w:hanging="720"/>
        <w:jc w:val="both"/>
        <w:rPr>
          <w:rFonts w:ascii="Times New Roman" w:hAnsi="Times New Roman" w:cs="Times New Roman"/>
          <w:sz w:val="24"/>
          <w:szCs w:val="24"/>
          <w:lang w:val="es-ES_tradnl"/>
        </w:rPr>
      </w:pPr>
      <w:r w:rsidRPr="00135A41">
        <w:rPr>
          <w:rFonts w:ascii="Times New Roman" w:hAnsi="Times New Roman" w:cs="Times New Roman"/>
          <w:sz w:val="24"/>
          <w:szCs w:val="24"/>
          <w:lang w:val="en-US"/>
        </w:rPr>
        <w:t>Sen, A. (1985)</w:t>
      </w:r>
      <w:r w:rsidR="002D3760" w:rsidRPr="00135A41">
        <w:rPr>
          <w:rFonts w:ascii="Times New Roman" w:hAnsi="Times New Roman" w:cs="Times New Roman"/>
          <w:sz w:val="24"/>
          <w:szCs w:val="24"/>
          <w:lang w:val="en-US"/>
        </w:rPr>
        <w:t>:</w:t>
      </w:r>
      <w:r w:rsidRPr="00135A41">
        <w:rPr>
          <w:rFonts w:ascii="Times New Roman" w:hAnsi="Times New Roman" w:cs="Times New Roman"/>
          <w:sz w:val="24"/>
          <w:szCs w:val="24"/>
          <w:lang w:val="en-US"/>
        </w:rPr>
        <w:t xml:space="preserve"> “Commodities and Capabilities. Lectures in Economics: Theory, Institutions”. </w:t>
      </w:r>
      <w:proofErr w:type="spellStart"/>
      <w:r w:rsidRPr="00135A41">
        <w:rPr>
          <w:rFonts w:ascii="Times New Roman" w:hAnsi="Times New Roman" w:cs="Times New Roman"/>
          <w:i/>
          <w:sz w:val="24"/>
          <w:szCs w:val="24"/>
          <w:lang w:val="es-ES_tradnl"/>
        </w:rPr>
        <w:t>Policy</w:t>
      </w:r>
      <w:proofErr w:type="spellEnd"/>
      <w:r w:rsidRPr="00135A41">
        <w:rPr>
          <w:rFonts w:ascii="Times New Roman" w:hAnsi="Times New Roman" w:cs="Times New Roman"/>
          <w:sz w:val="24"/>
          <w:szCs w:val="24"/>
          <w:lang w:val="es-ES_tradnl"/>
        </w:rPr>
        <w:t>, vol. 7.</w:t>
      </w:r>
    </w:p>
    <w:p w:rsidR="00DC177A" w:rsidRPr="00206BDE" w:rsidRDefault="00DC177A" w:rsidP="007270CD">
      <w:pPr>
        <w:autoSpaceDE w:val="0"/>
        <w:autoSpaceDN w:val="0"/>
        <w:adjustRightInd w:val="0"/>
        <w:spacing w:before="120" w:after="120" w:line="360" w:lineRule="auto"/>
        <w:ind w:left="720" w:hanging="720"/>
        <w:jc w:val="both"/>
        <w:rPr>
          <w:rFonts w:ascii="Times New Roman" w:hAnsi="Times New Roman" w:cs="Times New Roman"/>
          <w:sz w:val="24"/>
          <w:szCs w:val="24"/>
          <w:lang w:val="es-ES_tradnl"/>
        </w:rPr>
        <w:sectPr w:rsidR="00DC177A" w:rsidRPr="00206BDE" w:rsidSect="00AD37B1">
          <w:footerReference w:type="default" r:id="rId15"/>
          <w:headerReference w:type="first" r:id="rId16"/>
          <w:pgSz w:w="11906" w:h="16838"/>
          <w:pgMar w:top="1417" w:right="1701" w:bottom="1417" w:left="1701" w:header="708" w:footer="708" w:gutter="0"/>
          <w:cols w:space="708"/>
          <w:titlePg/>
          <w:docGrid w:linePitch="360"/>
        </w:sectPr>
      </w:pPr>
    </w:p>
    <w:p w:rsidR="006C73B0" w:rsidRPr="002A1746" w:rsidRDefault="006C73B0" w:rsidP="006C73B0">
      <w:pPr>
        <w:pStyle w:val="Prrafodelista"/>
        <w:numPr>
          <w:ilvl w:val="0"/>
          <w:numId w:val="1"/>
        </w:numPr>
        <w:spacing w:before="120" w:after="120" w:line="360" w:lineRule="auto"/>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lastRenderedPageBreak/>
        <w:t>ANEXO</w:t>
      </w:r>
    </w:p>
    <w:p w:rsidR="006C73B0" w:rsidRPr="002A1746" w:rsidRDefault="00636804" w:rsidP="006C73B0">
      <w:pPr>
        <w:keepNext/>
        <w:spacing w:before="120" w:after="120" w:line="360" w:lineRule="auto"/>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t xml:space="preserve">Tabla </w:t>
      </w:r>
      <w:r w:rsidR="008C2164">
        <w:rPr>
          <w:rFonts w:ascii="Times New Roman" w:hAnsi="Times New Roman" w:cs="Times New Roman"/>
          <w:b/>
          <w:sz w:val="24"/>
          <w:szCs w:val="24"/>
          <w:lang w:val="es-ES"/>
        </w:rPr>
        <w:t>A1</w:t>
      </w:r>
      <w:r w:rsidRPr="002A1746">
        <w:rPr>
          <w:rFonts w:ascii="Times New Roman" w:hAnsi="Times New Roman" w:cs="Times New Roman"/>
          <w:b/>
          <w:sz w:val="24"/>
          <w:szCs w:val="24"/>
          <w:lang w:val="es-ES"/>
        </w:rPr>
        <w:t xml:space="preserve">: </w:t>
      </w:r>
      <w:r w:rsidR="006C73B0" w:rsidRPr="002A1746">
        <w:rPr>
          <w:rFonts w:ascii="Times New Roman" w:hAnsi="Times New Roman" w:cs="Times New Roman"/>
          <w:b/>
          <w:sz w:val="24"/>
          <w:szCs w:val="24"/>
          <w:lang w:val="es-ES"/>
        </w:rPr>
        <w:t xml:space="preserve">Tasa de Riesgo de Pobreza (%). </w:t>
      </w:r>
      <w:r w:rsidR="00D314FC" w:rsidRPr="002A1746">
        <w:rPr>
          <w:rFonts w:ascii="Times New Roman" w:hAnsi="Times New Roman" w:cs="Times New Roman"/>
          <w:b/>
          <w:sz w:val="24"/>
          <w:szCs w:val="24"/>
          <w:lang w:val="es-ES"/>
        </w:rPr>
        <w:t>Líneas</w:t>
      </w:r>
      <w:r w:rsidR="00135A41">
        <w:rPr>
          <w:rFonts w:ascii="Times New Roman" w:hAnsi="Times New Roman" w:cs="Times New Roman"/>
          <w:b/>
          <w:sz w:val="24"/>
          <w:szCs w:val="24"/>
          <w:lang w:val="es-ES"/>
        </w:rPr>
        <w:t xml:space="preserve"> Estatales</w:t>
      </w:r>
    </w:p>
    <w:tbl>
      <w:tblPr>
        <w:tblW w:w="5000" w:type="pct"/>
        <w:tblCellMar>
          <w:left w:w="70" w:type="dxa"/>
          <w:right w:w="70" w:type="dxa"/>
        </w:tblCellMar>
        <w:tblLook w:val="04A0" w:firstRow="1" w:lastRow="0" w:firstColumn="1" w:lastColumn="0" w:noHBand="0" w:noVBand="1"/>
      </w:tblPr>
      <w:tblGrid>
        <w:gridCol w:w="1565"/>
        <w:gridCol w:w="499"/>
        <w:gridCol w:w="493"/>
        <w:gridCol w:w="490"/>
        <w:gridCol w:w="490"/>
        <w:gridCol w:w="501"/>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490"/>
      </w:tblGrid>
      <w:tr w:rsidR="008B5BB0" w:rsidRPr="002A1746" w:rsidTr="00201C52">
        <w:trPr>
          <w:trHeight w:val="300"/>
        </w:trPr>
        <w:tc>
          <w:tcPr>
            <w:tcW w:w="553"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 </w:t>
            </w:r>
          </w:p>
        </w:tc>
        <w:tc>
          <w:tcPr>
            <w:tcW w:w="873" w:type="pct"/>
            <w:gridSpan w:val="5"/>
            <w:tcBorders>
              <w:top w:val="nil"/>
              <w:left w:val="nil"/>
              <w:bottom w:val="nil"/>
              <w:right w:val="single" w:sz="8" w:space="0" w:color="000000"/>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proofErr w:type="spellStart"/>
            <w:r w:rsidRPr="002A1746">
              <w:rPr>
                <w:rFonts w:ascii="Times New Roman" w:eastAsia="Times New Roman" w:hAnsi="Times New Roman" w:cs="Times New Roman"/>
                <w:color w:val="000000"/>
                <w:sz w:val="20"/>
                <w:szCs w:val="20"/>
                <w:lang w:val="es-ES" w:eastAsia="pt-PT"/>
              </w:rPr>
              <w:t>Lp</w:t>
            </w:r>
            <w:proofErr w:type="spellEnd"/>
            <w:r w:rsidRPr="002A1746">
              <w:rPr>
                <w:rFonts w:ascii="Times New Roman" w:eastAsia="Times New Roman" w:hAnsi="Times New Roman" w:cs="Times New Roman"/>
                <w:color w:val="000000"/>
                <w:sz w:val="20"/>
                <w:szCs w:val="20"/>
                <w:lang w:val="es-ES" w:eastAsia="pt-PT"/>
              </w:rPr>
              <w:t xml:space="preserve"> IDE</w:t>
            </w:r>
          </w:p>
        </w:tc>
        <w:tc>
          <w:tcPr>
            <w:tcW w:w="894" w:type="pct"/>
            <w:gridSpan w:val="5"/>
            <w:tcBorders>
              <w:top w:val="nil"/>
              <w:left w:val="nil"/>
              <w:bottom w:val="nil"/>
              <w:right w:val="single" w:sz="8" w:space="0" w:color="000000"/>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Lp1 IDE</w:t>
            </w:r>
          </w:p>
        </w:tc>
        <w:tc>
          <w:tcPr>
            <w:tcW w:w="894" w:type="pct"/>
            <w:gridSpan w:val="5"/>
            <w:tcBorders>
              <w:top w:val="nil"/>
              <w:left w:val="nil"/>
              <w:bottom w:val="nil"/>
              <w:right w:val="single" w:sz="8" w:space="0" w:color="000000"/>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Lp2 IDEP</w:t>
            </w:r>
          </w:p>
        </w:tc>
        <w:tc>
          <w:tcPr>
            <w:tcW w:w="894" w:type="pct"/>
            <w:gridSpan w:val="5"/>
            <w:tcBorders>
              <w:top w:val="nil"/>
              <w:left w:val="nil"/>
              <w:bottom w:val="nil"/>
              <w:right w:val="single" w:sz="8" w:space="0" w:color="000000"/>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Lp1 IDEI</w:t>
            </w:r>
          </w:p>
        </w:tc>
        <w:tc>
          <w:tcPr>
            <w:tcW w:w="891" w:type="pct"/>
            <w:gridSpan w:val="5"/>
            <w:tcBorders>
              <w:top w:val="nil"/>
              <w:left w:val="nil"/>
              <w:bottom w:val="nil"/>
              <w:right w:val="single" w:sz="8" w:space="0" w:color="000000"/>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Lp2 IDEIP</w:t>
            </w:r>
          </w:p>
        </w:tc>
      </w:tr>
      <w:tr w:rsidR="008B5BB0" w:rsidRPr="002A1746" w:rsidTr="00201C52">
        <w:trPr>
          <w:trHeight w:val="315"/>
        </w:trPr>
        <w:tc>
          <w:tcPr>
            <w:tcW w:w="553" w:type="pct"/>
            <w:tcBorders>
              <w:top w:val="nil"/>
              <w:left w:val="nil"/>
              <w:bottom w:val="single" w:sz="8" w:space="0" w:color="auto"/>
              <w:right w:val="single" w:sz="8" w:space="0" w:color="auto"/>
            </w:tcBorders>
            <w:shd w:val="clear" w:color="auto" w:fill="auto"/>
            <w:noWrap/>
            <w:vAlign w:val="bottom"/>
            <w:hideMark/>
          </w:tcPr>
          <w:p w:rsidR="008B5BB0" w:rsidRPr="002A1746" w:rsidRDefault="008B5BB0" w:rsidP="008B5BB0">
            <w:pPr>
              <w:spacing w:after="0" w:line="240" w:lineRule="auto"/>
              <w:jc w:val="right"/>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 Región\Año</w:t>
            </w:r>
          </w:p>
        </w:tc>
        <w:tc>
          <w:tcPr>
            <w:tcW w:w="176" w:type="pct"/>
            <w:tcBorders>
              <w:top w:val="nil"/>
              <w:left w:val="nil"/>
              <w:bottom w:val="single" w:sz="8"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08</w:t>
            </w:r>
          </w:p>
        </w:tc>
        <w:tc>
          <w:tcPr>
            <w:tcW w:w="174" w:type="pct"/>
            <w:tcBorders>
              <w:top w:val="nil"/>
              <w:left w:val="nil"/>
              <w:bottom w:val="single" w:sz="8"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09</w:t>
            </w:r>
          </w:p>
        </w:tc>
        <w:tc>
          <w:tcPr>
            <w:tcW w:w="173" w:type="pct"/>
            <w:tcBorders>
              <w:top w:val="nil"/>
              <w:left w:val="nil"/>
              <w:bottom w:val="single" w:sz="8"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w:t>
            </w:r>
          </w:p>
        </w:tc>
        <w:tc>
          <w:tcPr>
            <w:tcW w:w="173" w:type="pct"/>
            <w:tcBorders>
              <w:top w:val="nil"/>
              <w:left w:val="nil"/>
              <w:bottom w:val="single" w:sz="8"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w:t>
            </w:r>
          </w:p>
        </w:tc>
        <w:tc>
          <w:tcPr>
            <w:tcW w:w="176" w:type="pct"/>
            <w:tcBorders>
              <w:top w:val="nil"/>
              <w:left w:val="nil"/>
              <w:bottom w:val="single" w:sz="8"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w:t>
            </w:r>
          </w:p>
        </w:tc>
        <w:tc>
          <w:tcPr>
            <w:tcW w:w="179" w:type="pct"/>
            <w:tcBorders>
              <w:top w:val="nil"/>
              <w:left w:val="single" w:sz="8" w:space="0" w:color="auto"/>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08</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09</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w:t>
            </w:r>
          </w:p>
        </w:tc>
        <w:tc>
          <w:tcPr>
            <w:tcW w:w="179" w:type="pct"/>
            <w:tcBorders>
              <w:top w:val="nil"/>
              <w:left w:val="nil"/>
              <w:bottom w:val="single" w:sz="8" w:space="0" w:color="auto"/>
              <w:right w:val="single" w:sz="8" w:space="0" w:color="auto"/>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08</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09</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w:t>
            </w:r>
          </w:p>
        </w:tc>
        <w:tc>
          <w:tcPr>
            <w:tcW w:w="179" w:type="pct"/>
            <w:tcBorders>
              <w:top w:val="nil"/>
              <w:left w:val="nil"/>
              <w:bottom w:val="single" w:sz="8" w:space="0" w:color="auto"/>
              <w:right w:val="single" w:sz="8" w:space="0" w:color="auto"/>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08</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09</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w:t>
            </w:r>
          </w:p>
        </w:tc>
        <w:tc>
          <w:tcPr>
            <w:tcW w:w="179" w:type="pct"/>
            <w:tcBorders>
              <w:top w:val="nil"/>
              <w:left w:val="single" w:sz="8" w:space="0" w:color="auto"/>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08</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09</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w:t>
            </w:r>
          </w:p>
        </w:tc>
        <w:tc>
          <w:tcPr>
            <w:tcW w:w="179" w:type="pct"/>
            <w:tcBorders>
              <w:top w:val="nil"/>
              <w:left w:val="nil"/>
              <w:bottom w:val="single" w:sz="8" w:space="0" w:color="auto"/>
              <w:right w:val="nil"/>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w:t>
            </w:r>
          </w:p>
        </w:tc>
        <w:tc>
          <w:tcPr>
            <w:tcW w:w="175" w:type="pct"/>
            <w:tcBorders>
              <w:top w:val="nil"/>
              <w:left w:val="nil"/>
              <w:bottom w:val="single" w:sz="8" w:space="0" w:color="auto"/>
              <w:right w:val="single" w:sz="8" w:space="0" w:color="auto"/>
            </w:tcBorders>
            <w:shd w:val="clear" w:color="auto" w:fill="auto"/>
            <w:noWrap/>
            <w:vAlign w:val="bottom"/>
            <w:hideMark/>
          </w:tcPr>
          <w:p w:rsidR="008B5BB0" w:rsidRPr="002A1746" w:rsidRDefault="008B5BB0" w:rsidP="00905DC1">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Navarra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5,9</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7,5</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7,7</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9,6</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8,3</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5,9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10,1</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8,6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8,1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9,5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5,9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6,9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5,8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9,5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6,2</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9,1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9,5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14,2</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17,7</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País Vasco</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10,4</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8,2</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12,2</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11,6</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12,8</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8,2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12,3</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16,1</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5,4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8,6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10,2</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13,3</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13,6</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Cantabria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11,2</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13,3</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18,3</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19,2</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15,2</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8,1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13,0</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18,8</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14,2</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Asturias</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13,1</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13,0</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12,5</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10,5</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16,9</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13,3</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9,5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9,9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8,6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15,3</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7,0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9,1</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18,9</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Cataluña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13,5</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15,4</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15,9</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17,8</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16,9</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18,8</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24,6</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17,8</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22,4</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23,5</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D314FC" w:rsidP="008B5BB0">
            <w:pPr>
              <w:spacing w:after="0" w:line="240" w:lineRule="auto"/>
              <w:rPr>
                <w:rFonts w:ascii="Times New Roman" w:eastAsia="Times New Roman" w:hAnsi="Times New Roman" w:cs="Times New Roman"/>
                <w:color w:val="000000"/>
                <w:sz w:val="20"/>
                <w:szCs w:val="20"/>
                <w:lang w:val="es-ES" w:eastAsia="pt-PT"/>
              </w:rPr>
            </w:pPr>
            <w:r>
              <w:rPr>
                <w:rFonts w:ascii="Times New Roman" w:eastAsia="Times New Roman" w:hAnsi="Times New Roman" w:cs="Times New Roman"/>
                <w:color w:val="000000"/>
                <w:sz w:val="20"/>
                <w:szCs w:val="20"/>
                <w:lang w:val="es-ES" w:eastAsia="pt-PT"/>
              </w:rPr>
              <w:t xml:space="preserve">Islas </w:t>
            </w:r>
            <w:r w:rsidR="008B5BB0" w:rsidRPr="002A1746">
              <w:rPr>
                <w:rFonts w:ascii="Times New Roman" w:eastAsia="Times New Roman" w:hAnsi="Times New Roman" w:cs="Times New Roman"/>
                <w:color w:val="000000"/>
                <w:sz w:val="20"/>
                <w:szCs w:val="20"/>
                <w:lang w:val="es-ES" w:eastAsia="pt-PT"/>
              </w:rPr>
              <w:t>Balear</w:t>
            </w:r>
            <w:r>
              <w:rPr>
                <w:rFonts w:ascii="Times New Roman" w:eastAsia="Times New Roman" w:hAnsi="Times New Roman" w:cs="Times New Roman"/>
                <w:color w:val="000000"/>
                <w:sz w:val="20"/>
                <w:szCs w:val="20"/>
                <w:lang w:val="es-ES" w:eastAsia="pt-PT"/>
              </w:rPr>
              <w:t>e</w:t>
            </w:r>
            <w:r w:rsidR="008B5BB0" w:rsidRPr="002A1746">
              <w:rPr>
                <w:rFonts w:ascii="Times New Roman" w:eastAsia="Times New Roman" w:hAnsi="Times New Roman" w:cs="Times New Roman"/>
                <w:color w:val="000000"/>
                <w:sz w:val="20"/>
                <w:szCs w:val="20"/>
                <w:lang w:val="es-ES" w:eastAsia="pt-PT"/>
              </w:rPr>
              <w:t>s</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14,4</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16,4</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20,3</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19,9</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24,4</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20,8</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30,1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23,2</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23,6</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29,9</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Madrid</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15,0</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14,8</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14,2</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15,9</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15,1</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16,6</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18,1</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15,2</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16,9</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16,8</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Aragón</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15,4</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12,0</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15,4</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16,4</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19,6</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17,3</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17,8</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19,0</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11,1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10,9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16,0</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21,0</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Galicia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21,2</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18,3</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17,1</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19,3</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16,9</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20,3</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21,6</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14,5</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13,2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17,6</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17,9</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La Rioja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21,4</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18,8</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21,1</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24,0</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19,1</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25,1</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29,6</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20,3</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26,2</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23,7</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Com. Valenciana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22,3</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18,5</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22,7</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20,8</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23,9</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24,1</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22,9</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20,3</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26,3</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Castilla y León</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23,6</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19,6</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21,2</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20,7</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17,4</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24,0</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16,0</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14,0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17,3</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17,8</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Murcia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26,0</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29,9</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30,0</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27,0</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30,1</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30,0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29,6</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31,9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31,3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30,4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32,4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37,6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29,2</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29,6</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33,7</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Canarias</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27,9</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29,5</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33,3</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36,2</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33,6</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37,1</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36,6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32,1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36,4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37,8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31,7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32,1</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30,8</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32,1</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Castilla-La Mancha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29,5</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28,6</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30,2</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34,4</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33,6</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30,2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36,7</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36,6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34,4</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36,8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33,1</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20,8</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26,3</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33,1</w:t>
            </w:r>
          </w:p>
        </w:tc>
      </w:tr>
      <w:tr w:rsidR="008B5BB0" w:rsidRPr="002A1746" w:rsidTr="00201C52">
        <w:trPr>
          <w:trHeight w:val="300"/>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Andalucía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29,5</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28,0</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29,6</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32,7</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31,3</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27,5</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34,3</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35,1</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35,7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28,5</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29,0</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31,2</w:t>
            </w:r>
          </w:p>
        </w:tc>
      </w:tr>
      <w:tr w:rsidR="008B5BB0" w:rsidRPr="002A1746" w:rsidTr="00201C52">
        <w:trPr>
          <w:trHeight w:val="315"/>
        </w:trPr>
        <w:tc>
          <w:tcPr>
            <w:tcW w:w="553" w:type="pct"/>
            <w:tcBorders>
              <w:top w:val="nil"/>
              <w:left w:val="nil"/>
              <w:bottom w:val="nil"/>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Extremadura</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37,9</w:t>
            </w:r>
          </w:p>
        </w:tc>
        <w:tc>
          <w:tcPr>
            <w:tcW w:w="174"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33,7</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38,9</w:t>
            </w:r>
          </w:p>
        </w:tc>
        <w:tc>
          <w:tcPr>
            <w:tcW w:w="173"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31,5</w:t>
            </w:r>
          </w:p>
        </w:tc>
        <w:tc>
          <w:tcPr>
            <w:tcW w:w="176"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34,3</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37,9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38,9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33,3</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38,3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27,9</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26,1</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27,6</w:t>
            </w:r>
          </w:p>
        </w:tc>
        <w:tc>
          <w:tcPr>
            <w:tcW w:w="179"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33,2</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30,0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32,3</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28,4</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32,0</w:t>
            </w:r>
          </w:p>
        </w:tc>
        <w:tc>
          <w:tcPr>
            <w:tcW w:w="179" w:type="pct"/>
            <w:tcBorders>
              <w:top w:val="nil"/>
              <w:left w:val="single" w:sz="8" w:space="0" w:color="auto"/>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21,7</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22,0</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26,6</w:t>
            </w:r>
          </w:p>
        </w:tc>
        <w:tc>
          <w:tcPr>
            <w:tcW w:w="179" w:type="pct"/>
            <w:tcBorders>
              <w:top w:val="nil"/>
              <w:left w:val="nil"/>
              <w:bottom w:val="nil"/>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23,8</w:t>
            </w:r>
          </w:p>
        </w:tc>
        <w:tc>
          <w:tcPr>
            <w:tcW w:w="175" w:type="pct"/>
            <w:tcBorders>
              <w:top w:val="nil"/>
              <w:left w:val="nil"/>
              <w:bottom w:val="nil"/>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27,4</w:t>
            </w:r>
          </w:p>
        </w:tc>
      </w:tr>
      <w:tr w:rsidR="008B5BB0" w:rsidRPr="002A1746" w:rsidTr="00201C52">
        <w:trPr>
          <w:trHeight w:val="315"/>
        </w:trPr>
        <w:tc>
          <w:tcPr>
            <w:tcW w:w="553" w:type="pct"/>
            <w:tcBorders>
              <w:top w:val="single" w:sz="8" w:space="0" w:color="auto"/>
              <w:left w:val="nil"/>
              <w:bottom w:val="single" w:sz="4" w:space="0" w:color="auto"/>
              <w:right w:val="single" w:sz="8" w:space="0" w:color="auto"/>
            </w:tcBorders>
            <w:shd w:val="clear" w:color="auto" w:fill="auto"/>
            <w:vAlign w:val="bottom"/>
            <w:hideMark/>
          </w:tcPr>
          <w:p w:rsidR="008B5BB0" w:rsidRPr="002A1746" w:rsidRDefault="008B5BB0" w:rsidP="008B5BB0">
            <w:pPr>
              <w:spacing w:after="0" w:line="240" w:lineRule="auto"/>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España</w:t>
            </w:r>
          </w:p>
        </w:tc>
        <w:tc>
          <w:tcPr>
            <w:tcW w:w="176"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20,7</w:t>
            </w:r>
          </w:p>
        </w:tc>
        <w:tc>
          <w:tcPr>
            <w:tcW w:w="174"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19,8</w:t>
            </w:r>
          </w:p>
        </w:tc>
        <w:tc>
          <w:tcPr>
            <w:tcW w:w="173"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21,4</w:t>
            </w:r>
          </w:p>
        </w:tc>
        <w:tc>
          <w:tcPr>
            <w:tcW w:w="173"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22,4</w:t>
            </w:r>
          </w:p>
        </w:tc>
        <w:tc>
          <w:tcPr>
            <w:tcW w:w="176"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22,3</w:t>
            </w:r>
          </w:p>
        </w:tc>
        <w:tc>
          <w:tcPr>
            <w:tcW w:w="179" w:type="pct"/>
            <w:tcBorders>
              <w:top w:val="single" w:sz="8" w:space="0" w:color="auto"/>
              <w:left w:val="single" w:sz="8" w:space="0" w:color="auto"/>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20,7</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19,4</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21,4</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23,9</w:t>
            </w:r>
          </w:p>
        </w:tc>
        <w:tc>
          <w:tcPr>
            <w:tcW w:w="179" w:type="pct"/>
            <w:tcBorders>
              <w:top w:val="single" w:sz="8" w:space="0" w:color="auto"/>
              <w:left w:val="nil"/>
              <w:bottom w:val="single" w:sz="4" w:space="0" w:color="auto"/>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24,4</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19,8</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20,4</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22,3</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25,7</w:t>
            </w:r>
          </w:p>
        </w:tc>
        <w:tc>
          <w:tcPr>
            <w:tcW w:w="179" w:type="pct"/>
            <w:tcBorders>
              <w:top w:val="single" w:sz="8" w:space="0" w:color="auto"/>
              <w:left w:val="nil"/>
              <w:bottom w:val="single" w:sz="4" w:space="0" w:color="auto"/>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27,1</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16,8</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16,9</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17,7</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20,1</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21,2</w:t>
            </w:r>
          </w:p>
        </w:tc>
        <w:tc>
          <w:tcPr>
            <w:tcW w:w="179" w:type="pct"/>
            <w:tcBorders>
              <w:top w:val="single" w:sz="8" w:space="0" w:color="auto"/>
              <w:left w:val="single" w:sz="8" w:space="0" w:color="auto"/>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15,8</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17,5</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18,5</w:t>
            </w:r>
          </w:p>
        </w:tc>
        <w:tc>
          <w:tcPr>
            <w:tcW w:w="179" w:type="pct"/>
            <w:tcBorders>
              <w:top w:val="single" w:sz="8" w:space="0" w:color="auto"/>
              <w:left w:val="nil"/>
              <w:bottom w:val="single" w:sz="4" w:space="0" w:color="auto"/>
              <w:right w:val="nil"/>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21,8</w:t>
            </w:r>
          </w:p>
        </w:tc>
        <w:tc>
          <w:tcPr>
            <w:tcW w:w="175" w:type="pct"/>
            <w:tcBorders>
              <w:top w:val="single" w:sz="8" w:space="0" w:color="auto"/>
              <w:left w:val="nil"/>
              <w:bottom w:val="single" w:sz="4" w:space="0" w:color="auto"/>
              <w:right w:val="single" w:sz="8" w:space="0" w:color="auto"/>
            </w:tcBorders>
            <w:shd w:val="clear" w:color="auto" w:fill="auto"/>
            <w:noWrap/>
            <w:vAlign w:val="bottom"/>
            <w:hideMark/>
          </w:tcPr>
          <w:p w:rsidR="008B5BB0" w:rsidRPr="002A1746" w:rsidRDefault="008B5BB0" w:rsidP="008B5BB0">
            <w:pPr>
              <w:spacing w:after="0" w:line="240" w:lineRule="auto"/>
              <w:jc w:val="center"/>
              <w:rPr>
                <w:rFonts w:ascii="Times New Roman" w:eastAsia="Times New Roman" w:hAnsi="Times New Roman" w:cs="Times New Roman"/>
                <w:color w:val="000000"/>
                <w:sz w:val="20"/>
                <w:szCs w:val="20"/>
                <w:lang w:val="es-ES" w:eastAsia="pt-PT"/>
              </w:rPr>
            </w:pPr>
            <w:r w:rsidRPr="002A1746">
              <w:rPr>
                <w:rFonts w:ascii="Times New Roman" w:eastAsia="Times New Roman" w:hAnsi="Times New Roman" w:cs="Times New Roman"/>
                <w:color w:val="000000"/>
                <w:sz w:val="20"/>
                <w:szCs w:val="20"/>
                <w:lang w:val="es-ES" w:eastAsia="pt-PT"/>
              </w:rPr>
              <w:t>24,2</w:t>
            </w:r>
          </w:p>
        </w:tc>
      </w:tr>
      <w:tr w:rsidR="00201C52" w:rsidRPr="002A1746" w:rsidTr="00201C52">
        <w:trPr>
          <w:trHeight w:val="315"/>
        </w:trPr>
        <w:tc>
          <w:tcPr>
            <w:tcW w:w="5000" w:type="pct"/>
            <w:gridSpan w:val="26"/>
            <w:tcBorders>
              <w:top w:val="single" w:sz="4" w:space="0" w:color="auto"/>
              <w:left w:val="nil"/>
            </w:tcBorders>
            <w:shd w:val="clear" w:color="auto" w:fill="auto"/>
            <w:vAlign w:val="center"/>
          </w:tcPr>
          <w:p w:rsidR="00201C52" w:rsidRPr="002A1746" w:rsidRDefault="00201C52" w:rsidP="00201C52">
            <w:pPr>
              <w:spacing w:after="0" w:line="240" w:lineRule="auto"/>
              <w:rPr>
                <w:rFonts w:ascii="Times New Roman" w:eastAsia="Times New Roman" w:hAnsi="Times New Roman" w:cs="Times New Roman"/>
                <w:color w:val="000000"/>
                <w:sz w:val="18"/>
                <w:szCs w:val="20"/>
                <w:lang w:val="es-ES" w:eastAsia="pt-PT"/>
              </w:rPr>
            </w:pPr>
            <w:r w:rsidRPr="002A1746">
              <w:rPr>
                <w:rFonts w:ascii="Times New Roman" w:eastAsia="Times New Roman" w:hAnsi="Times New Roman" w:cs="Times New Roman"/>
                <w:color w:val="000000"/>
                <w:sz w:val="18"/>
                <w:szCs w:val="20"/>
                <w:lang w:val="es-ES" w:eastAsia="pt-PT"/>
              </w:rPr>
              <w:t xml:space="preserve">Fuente: Elaboración propia con </w:t>
            </w:r>
            <w:proofErr w:type="spellStart"/>
            <w:r w:rsidRPr="002A1746">
              <w:rPr>
                <w:rFonts w:ascii="Times New Roman" w:eastAsia="Times New Roman" w:hAnsi="Times New Roman" w:cs="Times New Roman"/>
                <w:color w:val="000000"/>
                <w:sz w:val="18"/>
                <w:szCs w:val="20"/>
                <w:lang w:val="es-ES" w:eastAsia="pt-PT"/>
              </w:rPr>
              <w:t>microdatos</w:t>
            </w:r>
            <w:proofErr w:type="spellEnd"/>
            <w:r w:rsidRPr="002A1746">
              <w:rPr>
                <w:rFonts w:ascii="Times New Roman" w:eastAsia="Times New Roman" w:hAnsi="Times New Roman" w:cs="Times New Roman"/>
                <w:color w:val="000000"/>
                <w:sz w:val="18"/>
                <w:szCs w:val="20"/>
                <w:lang w:val="es-ES" w:eastAsia="pt-PT"/>
              </w:rPr>
              <w:t xml:space="preserve"> ECV-INE</w:t>
            </w:r>
          </w:p>
        </w:tc>
      </w:tr>
    </w:tbl>
    <w:p w:rsidR="006C73B0" w:rsidRPr="002A1746" w:rsidRDefault="00636804" w:rsidP="006C73B0">
      <w:pPr>
        <w:keepNext/>
        <w:spacing w:before="120" w:after="120" w:line="360" w:lineRule="auto"/>
        <w:jc w:val="both"/>
        <w:rPr>
          <w:rFonts w:ascii="Times New Roman" w:hAnsi="Times New Roman" w:cs="Times New Roman"/>
          <w:b/>
          <w:sz w:val="24"/>
          <w:szCs w:val="24"/>
          <w:lang w:val="es-ES"/>
        </w:rPr>
      </w:pPr>
      <w:r w:rsidRPr="002A1746">
        <w:rPr>
          <w:rFonts w:ascii="Times New Roman" w:hAnsi="Times New Roman" w:cs="Times New Roman"/>
          <w:b/>
          <w:sz w:val="24"/>
          <w:szCs w:val="24"/>
          <w:lang w:val="es-ES"/>
        </w:rPr>
        <w:lastRenderedPageBreak/>
        <w:t xml:space="preserve">Tabla </w:t>
      </w:r>
      <w:r w:rsidR="008C2164">
        <w:rPr>
          <w:rFonts w:ascii="Times New Roman" w:hAnsi="Times New Roman" w:cs="Times New Roman"/>
          <w:b/>
          <w:sz w:val="24"/>
          <w:szCs w:val="24"/>
          <w:lang w:val="es-ES"/>
        </w:rPr>
        <w:t>A2</w:t>
      </w:r>
      <w:r w:rsidRPr="002A1746">
        <w:rPr>
          <w:rFonts w:ascii="Times New Roman" w:hAnsi="Times New Roman" w:cs="Times New Roman"/>
          <w:b/>
          <w:sz w:val="24"/>
          <w:szCs w:val="24"/>
          <w:lang w:val="es-ES"/>
        </w:rPr>
        <w:t xml:space="preserve">: </w:t>
      </w:r>
      <w:r w:rsidR="006C73B0" w:rsidRPr="002A1746">
        <w:rPr>
          <w:rFonts w:ascii="Times New Roman" w:hAnsi="Times New Roman" w:cs="Times New Roman"/>
          <w:b/>
          <w:sz w:val="24"/>
          <w:szCs w:val="24"/>
          <w:lang w:val="es-ES"/>
        </w:rPr>
        <w:t>Tasa de Riesgo de Pobreza (%). Líneas regionales</w:t>
      </w:r>
    </w:p>
    <w:tbl>
      <w:tblPr>
        <w:tblW w:w="5000" w:type="pct"/>
        <w:tblCellMar>
          <w:left w:w="70" w:type="dxa"/>
          <w:right w:w="70" w:type="dxa"/>
        </w:tblCellMar>
        <w:tblLook w:val="04A0" w:firstRow="1" w:lastRow="0" w:firstColumn="1" w:lastColumn="0" w:noHBand="0" w:noVBand="1"/>
      </w:tblPr>
      <w:tblGrid>
        <w:gridCol w:w="3263"/>
        <w:gridCol w:w="1089"/>
        <w:gridCol w:w="1089"/>
        <w:gridCol w:w="1089"/>
        <w:gridCol w:w="1089"/>
        <w:gridCol w:w="1089"/>
        <w:gridCol w:w="1089"/>
        <w:gridCol w:w="1089"/>
        <w:gridCol w:w="1089"/>
        <w:gridCol w:w="1089"/>
        <w:gridCol w:w="1078"/>
      </w:tblGrid>
      <w:tr w:rsidR="006C73B0" w:rsidRPr="002A1746" w:rsidTr="00A77BD5">
        <w:trPr>
          <w:trHeight w:val="255"/>
        </w:trPr>
        <w:tc>
          <w:tcPr>
            <w:tcW w:w="1154" w:type="pct"/>
            <w:tcBorders>
              <w:top w:val="nil"/>
              <w:left w:val="nil"/>
              <w:bottom w:val="nil"/>
              <w:right w:val="single" w:sz="8" w:space="0" w:color="auto"/>
            </w:tcBorders>
            <w:shd w:val="clear" w:color="auto" w:fill="auto"/>
            <w:noWrap/>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 </w:t>
            </w:r>
          </w:p>
        </w:tc>
        <w:tc>
          <w:tcPr>
            <w:tcW w:w="1923" w:type="pct"/>
            <w:gridSpan w:val="5"/>
            <w:tcBorders>
              <w:top w:val="nil"/>
              <w:left w:val="nil"/>
              <w:bottom w:val="nil"/>
              <w:right w:val="single" w:sz="8" w:space="0" w:color="000000"/>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Lp3 IDE</w:t>
            </w:r>
          </w:p>
        </w:tc>
        <w:tc>
          <w:tcPr>
            <w:tcW w:w="1923" w:type="pct"/>
            <w:gridSpan w:val="5"/>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Lp3 IDEI</w:t>
            </w:r>
          </w:p>
        </w:tc>
      </w:tr>
      <w:tr w:rsidR="006C73B0" w:rsidRPr="002A1746" w:rsidTr="00A77BD5">
        <w:trPr>
          <w:trHeight w:val="270"/>
        </w:trPr>
        <w:tc>
          <w:tcPr>
            <w:tcW w:w="1154" w:type="pct"/>
            <w:tcBorders>
              <w:top w:val="nil"/>
              <w:left w:val="nil"/>
              <w:bottom w:val="single" w:sz="8" w:space="0" w:color="auto"/>
              <w:right w:val="single" w:sz="8" w:space="0" w:color="auto"/>
            </w:tcBorders>
            <w:shd w:val="clear" w:color="auto" w:fill="auto"/>
            <w:noWrap/>
            <w:vAlign w:val="bottom"/>
            <w:hideMark/>
          </w:tcPr>
          <w:p w:rsidR="006C73B0" w:rsidRPr="002A1746" w:rsidRDefault="006C73B0" w:rsidP="00CC5948">
            <w:pPr>
              <w:spacing w:after="0" w:line="240" w:lineRule="auto"/>
              <w:jc w:val="right"/>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 </w:t>
            </w:r>
            <w:r w:rsidR="00D05E1F" w:rsidRPr="002A1746">
              <w:rPr>
                <w:rFonts w:ascii="Times New Roman" w:eastAsia="Times New Roman" w:hAnsi="Times New Roman" w:cs="Times New Roman"/>
                <w:color w:val="000000"/>
                <w:sz w:val="24"/>
                <w:szCs w:val="24"/>
                <w:lang w:val="es-ES" w:eastAsia="zh-TW"/>
              </w:rPr>
              <w:t>Región\</w:t>
            </w:r>
            <w:r w:rsidRPr="002A1746">
              <w:rPr>
                <w:rFonts w:ascii="Times New Roman" w:eastAsia="Times New Roman" w:hAnsi="Times New Roman" w:cs="Times New Roman"/>
                <w:color w:val="000000"/>
                <w:sz w:val="24"/>
                <w:szCs w:val="24"/>
                <w:lang w:val="es-ES" w:eastAsia="zh-TW"/>
              </w:rPr>
              <w:t>Año</w:t>
            </w:r>
          </w:p>
        </w:tc>
        <w:tc>
          <w:tcPr>
            <w:tcW w:w="385" w:type="pct"/>
            <w:tcBorders>
              <w:top w:val="nil"/>
              <w:left w:val="nil"/>
              <w:bottom w:val="single" w:sz="8"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2008</w:t>
            </w:r>
          </w:p>
        </w:tc>
        <w:tc>
          <w:tcPr>
            <w:tcW w:w="385" w:type="pct"/>
            <w:tcBorders>
              <w:top w:val="nil"/>
              <w:left w:val="nil"/>
              <w:bottom w:val="single" w:sz="8"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2009</w:t>
            </w:r>
          </w:p>
        </w:tc>
        <w:tc>
          <w:tcPr>
            <w:tcW w:w="385" w:type="pct"/>
            <w:tcBorders>
              <w:top w:val="nil"/>
              <w:left w:val="nil"/>
              <w:bottom w:val="single" w:sz="8"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2010</w:t>
            </w:r>
          </w:p>
        </w:tc>
        <w:tc>
          <w:tcPr>
            <w:tcW w:w="385" w:type="pct"/>
            <w:tcBorders>
              <w:top w:val="nil"/>
              <w:left w:val="nil"/>
              <w:bottom w:val="single" w:sz="8"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2011</w:t>
            </w:r>
          </w:p>
        </w:tc>
        <w:tc>
          <w:tcPr>
            <w:tcW w:w="385" w:type="pct"/>
            <w:tcBorders>
              <w:top w:val="nil"/>
              <w:left w:val="nil"/>
              <w:bottom w:val="single" w:sz="8"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2012</w:t>
            </w:r>
          </w:p>
        </w:tc>
        <w:tc>
          <w:tcPr>
            <w:tcW w:w="385" w:type="pct"/>
            <w:tcBorders>
              <w:top w:val="nil"/>
              <w:left w:val="single" w:sz="8" w:space="0" w:color="auto"/>
              <w:bottom w:val="single" w:sz="8"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2008</w:t>
            </w:r>
          </w:p>
        </w:tc>
        <w:tc>
          <w:tcPr>
            <w:tcW w:w="385" w:type="pct"/>
            <w:tcBorders>
              <w:top w:val="nil"/>
              <w:left w:val="nil"/>
              <w:bottom w:val="single" w:sz="8"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2009</w:t>
            </w:r>
          </w:p>
        </w:tc>
        <w:tc>
          <w:tcPr>
            <w:tcW w:w="385" w:type="pct"/>
            <w:tcBorders>
              <w:top w:val="nil"/>
              <w:left w:val="nil"/>
              <w:bottom w:val="single" w:sz="8"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2010</w:t>
            </w:r>
          </w:p>
        </w:tc>
        <w:tc>
          <w:tcPr>
            <w:tcW w:w="385" w:type="pct"/>
            <w:tcBorders>
              <w:top w:val="nil"/>
              <w:left w:val="nil"/>
              <w:bottom w:val="single" w:sz="8"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2011</w:t>
            </w:r>
          </w:p>
        </w:tc>
        <w:tc>
          <w:tcPr>
            <w:tcW w:w="385" w:type="pct"/>
            <w:tcBorders>
              <w:top w:val="nil"/>
              <w:left w:val="nil"/>
              <w:bottom w:val="single" w:sz="8" w:space="0" w:color="auto"/>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2012</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Navarra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12,32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12,88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14,72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17,61</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18,62</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11,37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9,22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10,77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16,43</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17,70</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Cantabria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12,79</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15,11</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21,70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25,96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21,61</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10,68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16,60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15,83</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20,74</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14,21</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Asturias</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14,60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16,10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14,56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13,86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21,35</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10,99</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11,54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11,74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9,33</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18,52</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D314FC" w:rsidP="00CC5948">
            <w:pPr>
              <w:spacing w:after="0" w:line="240" w:lineRule="auto"/>
              <w:rPr>
                <w:rFonts w:ascii="Times New Roman" w:eastAsia="Times New Roman" w:hAnsi="Times New Roman" w:cs="Times New Roman"/>
                <w:color w:val="000000"/>
                <w:sz w:val="24"/>
                <w:szCs w:val="24"/>
                <w:lang w:val="es-ES" w:eastAsia="zh-TW"/>
              </w:rPr>
            </w:pPr>
            <w:r>
              <w:rPr>
                <w:rFonts w:ascii="Times New Roman" w:eastAsia="Times New Roman" w:hAnsi="Times New Roman" w:cs="Times New Roman"/>
                <w:color w:val="000000"/>
                <w:sz w:val="24"/>
                <w:szCs w:val="24"/>
                <w:lang w:val="es-ES" w:eastAsia="zh-TW"/>
              </w:rPr>
              <w:t>Islas</w:t>
            </w:r>
            <w:r w:rsidR="006C73B0" w:rsidRPr="002A1746">
              <w:rPr>
                <w:rFonts w:ascii="Times New Roman" w:eastAsia="Times New Roman" w:hAnsi="Times New Roman" w:cs="Times New Roman"/>
                <w:color w:val="000000"/>
                <w:sz w:val="24"/>
                <w:szCs w:val="24"/>
                <w:lang w:val="es-ES" w:eastAsia="zh-TW"/>
              </w:rPr>
              <w:t xml:space="preserve"> Balear</w:t>
            </w:r>
            <w:r>
              <w:rPr>
                <w:rFonts w:ascii="Times New Roman" w:eastAsia="Times New Roman" w:hAnsi="Times New Roman" w:cs="Times New Roman"/>
                <w:color w:val="000000"/>
                <w:sz w:val="24"/>
                <w:szCs w:val="24"/>
                <w:lang w:val="es-ES" w:eastAsia="zh-TW"/>
              </w:rPr>
              <w:t>e</w:t>
            </w:r>
            <w:r w:rsidR="006C73B0" w:rsidRPr="002A1746">
              <w:rPr>
                <w:rFonts w:ascii="Times New Roman" w:eastAsia="Times New Roman" w:hAnsi="Times New Roman" w:cs="Times New Roman"/>
                <w:color w:val="000000"/>
                <w:sz w:val="24"/>
                <w:szCs w:val="24"/>
                <w:lang w:val="es-ES" w:eastAsia="zh-TW"/>
              </w:rPr>
              <w:t>s</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15,73</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17,76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22,48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23,02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26,63</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16,92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19,75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18,65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20,24</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23,50</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País Vasco</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15,98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13,19</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17,56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17,95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18,28</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11,60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9,84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15,08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14,44</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15,01</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Extremadura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16,17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14,44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20,91</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17,35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19,53</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14,31</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12,61</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16,19</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13,93</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15,75</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Cataluña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17,09</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18,79</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20,54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22,58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21,47</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15,19</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16,37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18,33</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20,57</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20,72</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Com. Valenciana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17,85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15,63</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20,85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20,57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24,18</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16,83</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14,52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16,95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17,46</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21,56</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Castilla-La Mancha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18,62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19,04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20,35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24,84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26,26</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13,86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15,37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17,27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20,92</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23,61</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Canarias</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18,90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20,90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25,61</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26,94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27,21</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16,49</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18,84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20,17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23,27</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22,64</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Aragón</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19,62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17,61</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20,97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21,64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25,29</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13,72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12,18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15,68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18,08</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22,06</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Andalucía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19,74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19,55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20,23</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23,73</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21,94</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15,73</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15,95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17,67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21,52</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17,83</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Galicia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19,90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14,13</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14,01</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18,22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16,11</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13,97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10,94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12,31</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15,79</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12,81</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Castilla y León</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20,22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17,27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18,66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20,34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17,50</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13,56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12,19</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13,72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15,22</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14,27</w:t>
            </w:r>
          </w:p>
        </w:tc>
      </w:tr>
      <w:tr w:rsidR="006C73B0" w:rsidRPr="002A1746" w:rsidTr="00A77BD5">
        <w:trPr>
          <w:trHeight w:val="255"/>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Madrid</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21,02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21,95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20,50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25,04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23,70</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17,95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19,36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18,20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21,17</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21,43</w:t>
            </w:r>
          </w:p>
        </w:tc>
      </w:tr>
      <w:tr w:rsidR="006C73B0" w:rsidRPr="002A1746" w:rsidTr="00A77BD5">
        <w:trPr>
          <w:trHeight w:val="300"/>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La Rioja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21,38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18,84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21,12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25,22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19,64</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20,98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15,30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20,35</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23,53</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20,56</w:t>
            </w:r>
          </w:p>
        </w:tc>
      </w:tr>
      <w:tr w:rsidR="006C73B0" w:rsidRPr="002A1746" w:rsidTr="00A77BD5">
        <w:trPr>
          <w:trHeight w:val="270"/>
        </w:trPr>
        <w:tc>
          <w:tcPr>
            <w:tcW w:w="1154" w:type="pct"/>
            <w:tcBorders>
              <w:top w:val="nil"/>
              <w:left w:val="nil"/>
              <w:bottom w:val="nil"/>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Murcia</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23,06</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26,18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29,00</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26,58</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29,99</w:t>
            </w:r>
          </w:p>
        </w:tc>
        <w:tc>
          <w:tcPr>
            <w:tcW w:w="385" w:type="pct"/>
            <w:tcBorders>
              <w:top w:val="nil"/>
              <w:left w:val="single" w:sz="8" w:space="0" w:color="auto"/>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21,44</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22,02</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23,77</w:t>
            </w:r>
          </w:p>
        </w:tc>
        <w:tc>
          <w:tcPr>
            <w:tcW w:w="385" w:type="pct"/>
            <w:tcBorders>
              <w:top w:val="nil"/>
              <w:left w:val="nil"/>
              <w:bottom w:val="nil"/>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23,27</w:t>
            </w:r>
          </w:p>
        </w:tc>
        <w:tc>
          <w:tcPr>
            <w:tcW w:w="385" w:type="pct"/>
            <w:tcBorders>
              <w:top w:val="nil"/>
              <w:left w:val="nil"/>
              <w:bottom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25,96</w:t>
            </w:r>
          </w:p>
        </w:tc>
      </w:tr>
      <w:tr w:rsidR="006C73B0" w:rsidRPr="002A1746" w:rsidTr="00A77BD5">
        <w:trPr>
          <w:trHeight w:val="270"/>
        </w:trPr>
        <w:tc>
          <w:tcPr>
            <w:tcW w:w="1154" w:type="pct"/>
            <w:tcBorders>
              <w:top w:val="single" w:sz="8" w:space="0" w:color="auto"/>
              <w:left w:val="nil"/>
              <w:bottom w:val="single" w:sz="4" w:space="0" w:color="auto"/>
              <w:right w:val="single" w:sz="8" w:space="0" w:color="auto"/>
            </w:tcBorders>
            <w:shd w:val="clear" w:color="auto" w:fill="auto"/>
            <w:vAlign w:val="bottom"/>
            <w:hideMark/>
          </w:tcPr>
          <w:p w:rsidR="006C73B0" w:rsidRPr="002A1746" w:rsidRDefault="006C73B0" w:rsidP="00CC5948">
            <w:pPr>
              <w:spacing w:after="0" w:line="240" w:lineRule="auto"/>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España</w:t>
            </w:r>
          </w:p>
        </w:tc>
        <w:tc>
          <w:tcPr>
            <w:tcW w:w="385" w:type="pct"/>
            <w:tcBorders>
              <w:top w:val="single" w:sz="8" w:space="0" w:color="auto"/>
              <w:left w:val="nil"/>
              <w:bottom w:val="single" w:sz="4"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18,68</w:t>
            </w:r>
          </w:p>
        </w:tc>
        <w:tc>
          <w:tcPr>
            <w:tcW w:w="385" w:type="pct"/>
            <w:tcBorders>
              <w:top w:val="single" w:sz="8" w:space="0" w:color="auto"/>
              <w:left w:val="nil"/>
              <w:bottom w:val="single" w:sz="4"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18,38</w:t>
            </w:r>
          </w:p>
        </w:tc>
        <w:tc>
          <w:tcPr>
            <w:tcW w:w="385" w:type="pct"/>
            <w:tcBorders>
              <w:top w:val="single" w:sz="8" w:space="0" w:color="auto"/>
              <w:left w:val="nil"/>
              <w:bottom w:val="single" w:sz="4"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20,23</w:t>
            </w:r>
          </w:p>
        </w:tc>
        <w:tc>
          <w:tcPr>
            <w:tcW w:w="385" w:type="pct"/>
            <w:tcBorders>
              <w:top w:val="single" w:sz="8" w:space="0" w:color="auto"/>
              <w:left w:val="nil"/>
              <w:bottom w:val="single" w:sz="4"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22,38</w:t>
            </w:r>
          </w:p>
        </w:tc>
        <w:tc>
          <w:tcPr>
            <w:tcW w:w="385" w:type="pct"/>
            <w:tcBorders>
              <w:top w:val="single" w:sz="8" w:space="0" w:color="auto"/>
              <w:left w:val="nil"/>
              <w:bottom w:val="single" w:sz="4"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22,35</w:t>
            </w:r>
          </w:p>
        </w:tc>
        <w:tc>
          <w:tcPr>
            <w:tcW w:w="385" w:type="pct"/>
            <w:tcBorders>
              <w:top w:val="single" w:sz="8" w:space="0" w:color="auto"/>
              <w:left w:val="single" w:sz="8" w:space="0" w:color="auto"/>
              <w:bottom w:val="single" w:sz="4"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15,51</w:t>
            </w:r>
          </w:p>
        </w:tc>
        <w:tc>
          <w:tcPr>
            <w:tcW w:w="385" w:type="pct"/>
            <w:tcBorders>
              <w:top w:val="single" w:sz="8" w:space="0" w:color="auto"/>
              <w:left w:val="nil"/>
              <w:bottom w:val="single" w:sz="4"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15,54</w:t>
            </w:r>
          </w:p>
        </w:tc>
        <w:tc>
          <w:tcPr>
            <w:tcW w:w="385" w:type="pct"/>
            <w:tcBorders>
              <w:top w:val="single" w:sz="8" w:space="0" w:color="auto"/>
              <w:left w:val="nil"/>
              <w:bottom w:val="single" w:sz="4"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17,09</w:t>
            </w:r>
          </w:p>
        </w:tc>
        <w:tc>
          <w:tcPr>
            <w:tcW w:w="385" w:type="pct"/>
            <w:tcBorders>
              <w:top w:val="single" w:sz="8" w:space="0" w:color="auto"/>
              <w:left w:val="nil"/>
              <w:bottom w:val="single" w:sz="4" w:space="0" w:color="auto"/>
              <w:right w:val="nil"/>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19,31</w:t>
            </w:r>
          </w:p>
        </w:tc>
        <w:tc>
          <w:tcPr>
            <w:tcW w:w="385" w:type="pct"/>
            <w:tcBorders>
              <w:top w:val="single" w:sz="8" w:space="0" w:color="auto"/>
              <w:left w:val="nil"/>
              <w:bottom w:val="single" w:sz="4" w:space="0" w:color="auto"/>
            </w:tcBorders>
            <w:shd w:val="clear" w:color="auto" w:fill="auto"/>
            <w:noWrap/>
            <w:vAlign w:val="bottom"/>
            <w:hideMark/>
          </w:tcPr>
          <w:p w:rsidR="006C73B0" w:rsidRPr="002A1746" w:rsidRDefault="006C73B0" w:rsidP="00CC5948">
            <w:pPr>
              <w:spacing w:after="0" w:line="240" w:lineRule="auto"/>
              <w:jc w:val="center"/>
              <w:rPr>
                <w:rFonts w:ascii="Times New Roman" w:eastAsia="Times New Roman" w:hAnsi="Times New Roman" w:cs="Times New Roman"/>
                <w:color w:val="000000"/>
                <w:sz w:val="24"/>
                <w:szCs w:val="24"/>
                <w:lang w:val="es-ES" w:eastAsia="zh-TW"/>
              </w:rPr>
            </w:pPr>
            <w:r w:rsidRPr="002A1746">
              <w:rPr>
                <w:rFonts w:ascii="Times New Roman" w:eastAsia="Times New Roman" w:hAnsi="Times New Roman" w:cs="Times New Roman"/>
                <w:color w:val="000000"/>
                <w:sz w:val="24"/>
                <w:szCs w:val="24"/>
                <w:lang w:val="es-ES" w:eastAsia="zh-TW"/>
              </w:rPr>
              <w:t>19,50</w:t>
            </w:r>
          </w:p>
        </w:tc>
      </w:tr>
      <w:tr w:rsidR="00201C52" w:rsidRPr="002A1746" w:rsidTr="00A77BD5">
        <w:trPr>
          <w:trHeight w:val="70"/>
        </w:trPr>
        <w:tc>
          <w:tcPr>
            <w:tcW w:w="5000" w:type="pct"/>
            <w:gridSpan w:val="11"/>
            <w:tcBorders>
              <w:top w:val="single" w:sz="4" w:space="0" w:color="auto"/>
              <w:left w:val="nil"/>
            </w:tcBorders>
            <w:shd w:val="clear" w:color="auto" w:fill="auto"/>
            <w:vAlign w:val="bottom"/>
          </w:tcPr>
          <w:p w:rsidR="00201C52" w:rsidRPr="002A1746" w:rsidRDefault="00201C52" w:rsidP="00201C52">
            <w:pPr>
              <w:spacing w:after="0" w:line="240" w:lineRule="auto"/>
              <w:rPr>
                <w:rFonts w:ascii="Times New Roman" w:eastAsia="Times New Roman" w:hAnsi="Times New Roman" w:cs="Times New Roman"/>
                <w:color w:val="000000"/>
                <w:sz w:val="18"/>
                <w:szCs w:val="24"/>
                <w:lang w:val="es-ES" w:eastAsia="pt-PT"/>
              </w:rPr>
            </w:pPr>
            <w:r w:rsidRPr="002A1746">
              <w:rPr>
                <w:rFonts w:ascii="Times New Roman" w:eastAsia="Times New Roman" w:hAnsi="Times New Roman" w:cs="Times New Roman"/>
                <w:color w:val="000000"/>
                <w:sz w:val="18"/>
                <w:szCs w:val="24"/>
                <w:lang w:val="es-ES" w:eastAsia="pt-PT"/>
              </w:rPr>
              <w:t>Fuente: Elaboración propia con ECV-INE.</w:t>
            </w:r>
          </w:p>
        </w:tc>
      </w:tr>
    </w:tbl>
    <w:p w:rsidR="006C73B0" w:rsidRPr="002A1746" w:rsidRDefault="006C73B0" w:rsidP="00201C52">
      <w:pPr>
        <w:autoSpaceDE w:val="0"/>
        <w:autoSpaceDN w:val="0"/>
        <w:adjustRightInd w:val="0"/>
        <w:spacing w:before="120" w:after="120" w:line="360" w:lineRule="auto"/>
        <w:jc w:val="both"/>
        <w:rPr>
          <w:rFonts w:ascii="Times New Roman" w:hAnsi="Times New Roman" w:cs="Times New Roman"/>
          <w:sz w:val="24"/>
          <w:szCs w:val="24"/>
          <w:lang w:val="es-ES"/>
        </w:rPr>
      </w:pPr>
    </w:p>
    <w:sectPr w:rsidR="006C73B0" w:rsidRPr="002A1746" w:rsidSect="006C73B0">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F6" w:rsidRDefault="004046F6" w:rsidP="0054458C">
      <w:pPr>
        <w:spacing w:after="0" w:line="240" w:lineRule="auto"/>
      </w:pPr>
      <w:r>
        <w:separator/>
      </w:r>
    </w:p>
  </w:endnote>
  <w:endnote w:type="continuationSeparator" w:id="0">
    <w:p w:rsidR="004046F6" w:rsidRDefault="004046F6" w:rsidP="0054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01185"/>
      <w:docPartObj>
        <w:docPartGallery w:val="Page Numbers (Bottom of Page)"/>
        <w:docPartUnique/>
      </w:docPartObj>
    </w:sdtPr>
    <w:sdtEndPr/>
    <w:sdtContent>
      <w:p w:rsidR="00421CBE" w:rsidRDefault="00421CBE">
        <w:pPr>
          <w:pStyle w:val="Piedepgina"/>
          <w:jc w:val="center"/>
        </w:pPr>
        <w:r>
          <w:fldChar w:fldCharType="begin"/>
        </w:r>
        <w:r>
          <w:instrText>PAGE   \* MERGEFORMAT</w:instrText>
        </w:r>
        <w:r>
          <w:fldChar w:fldCharType="separate"/>
        </w:r>
        <w:r w:rsidR="005855A5" w:rsidRPr="005855A5">
          <w:rPr>
            <w:noProof/>
            <w:lang w:val="es-ES"/>
          </w:rPr>
          <w:t>2</w:t>
        </w:r>
        <w:r>
          <w:fldChar w:fldCharType="end"/>
        </w:r>
      </w:p>
    </w:sdtContent>
  </w:sdt>
  <w:p w:rsidR="00421CBE" w:rsidRDefault="00421C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F6" w:rsidRDefault="004046F6" w:rsidP="0054458C">
      <w:pPr>
        <w:spacing w:after="0" w:line="240" w:lineRule="auto"/>
      </w:pPr>
      <w:r>
        <w:separator/>
      </w:r>
    </w:p>
  </w:footnote>
  <w:footnote w:type="continuationSeparator" w:id="0">
    <w:p w:rsidR="004046F6" w:rsidRDefault="004046F6" w:rsidP="0054458C">
      <w:pPr>
        <w:spacing w:after="0" w:line="240" w:lineRule="auto"/>
      </w:pPr>
      <w:r>
        <w:continuationSeparator/>
      </w:r>
    </w:p>
  </w:footnote>
  <w:footnote w:id="1">
    <w:p w:rsidR="004A1ED4" w:rsidRPr="004A1ED4" w:rsidRDefault="004A1ED4" w:rsidP="004A1ED4">
      <w:pPr>
        <w:pStyle w:val="NormalWeb"/>
        <w:spacing w:before="0" w:beforeAutospacing="0" w:after="0" w:afterAutospacing="0"/>
        <w:jc w:val="both"/>
      </w:pPr>
      <w:r>
        <w:rPr>
          <w:rStyle w:val="Refdenotaalpie"/>
        </w:rPr>
        <w:footnoteRef/>
      </w:r>
      <w:r>
        <w:t xml:space="preserve"> </w:t>
      </w:r>
      <w:r w:rsidRPr="005855A5">
        <w:rPr>
          <w:rFonts w:eastAsiaTheme="minorEastAsia"/>
          <w:kern w:val="24"/>
          <w:sz w:val="18"/>
          <w:szCs w:val="18"/>
        </w:rPr>
        <w:t>Este trabajo ha contado con financiación procedente de las ayudas para la consolidación y estructuración de unidades de investigación competitivas del Siste</w:t>
      </w:r>
      <w:bookmarkStart w:id="0" w:name="_GoBack"/>
      <w:bookmarkEnd w:id="0"/>
      <w:r w:rsidRPr="005855A5">
        <w:rPr>
          <w:rFonts w:eastAsiaTheme="minorEastAsia"/>
          <w:kern w:val="24"/>
          <w:sz w:val="18"/>
          <w:szCs w:val="18"/>
        </w:rPr>
        <w:t xml:space="preserve">ma Universitario de Galicia de la </w:t>
      </w:r>
      <w:proofErr w:type="spellStart"/>
      <w:r w:rsidRPr="005855A5">
        <w:rPr>
          <w:rFonts w:eastAsiaTheme="minorEastAsia"/>
          <w:kern w:val="24"/>
          <w:sz w:val="18"/>
          <w:szCs w:val="18"/>
        </w:rPr>
        <w:t>Consellería</w:t>
      </w:r>
      <w:proofErr w:type="spellEnd"/>
      <w:r w:rsidRPr="005855A5">
        <w:rPr>
          <w:rFonts w:eastAsiaTheme="minorEastAsia"/>
          <w:kern w:val="24"/>
          <w:sz w:val="18"/>
          <w:szCs w:val="18"/>
        </w:rPr>
        <w:t xml:space="preserve"> de Educación, Cultura y Ordenación Universitaria.</w:t>
      </w:r>
    </w:p>
    <w:p w:rsidR="004A1ED4" w:rsidRDefault="004A1ED4">
      <w:pPr>
        <w:pStyle w:val="Textonotapie"/>
      </w:pPr>
    </w:p>
  </w:footnote>
  <w:footnote w:id="2">
    <w:p w:rsidR="00421CBE" w:rsidRDefault="00421CBE" w:rsidP="00652589">
      <w:pPr>
        <w:pStyle w:val="Textonotapie"/>
        <w:jc w:val="both"/>
        <w:rPr>
          <w:rFonts w:ascii="Times New Roman" w:hAnsi="Times New Roman" w:cs="Times New Roman"/>
          <w:sz w:val="18"/>
          <w:szCs w:val="18"/>
        </w:rPr>
      </w:pPr>
      <w:r w:rsidRPr="003B7EB7">
        <w:rPr>
          <w:rStyle w:val="Refdenotaalpie"/>
          <w:rFonts w:ascii="Times New Roman" w:hAnsi="Times New Roman" w:cs="Times New Roman"/>
          <w:sz w:val="18"/>
          <w:szCs w:val="18"/>
        </w:rPr>
        <w:footnoteRef/>
      </w:r>
      <w:r w:rsidRPr="003B7EB7">
        <w:rPr>
          <w:rFonts w:ascii="Times New Roman" w:hAnsi="Times New Roman" w:cs="Times New Roman"/>
          <w:sz w:val="18"/>
          <w:szCs w:val="18"/>
        </w:rPr>
        <w:t xml:space="preserve"> Indicar que en el momento de realización de este trabajo la última ola publicada es la ECV2013, publicada en 2014, que como ya hemos indicado recoge </w:t>
      </w:r>
      <w:proofErr w:type="spellStart"/>
      <w:r w:rsidRPr="003B7EB7">
        <w:rPr>
          <w:rFonts w:ascii="Times New Roman" w:hAnsi="Times New Roman" w:cs="Times New Roman"/>
          <w:sz w:val="18"/>
          <w:szCs w:val="18"/>
        </w:rPr>
        <w:t>microdatos</w:t>
      </w:r>
      <w:proofErr w:type="spellEnd"/>
      <w:r w:rsidRPr="003B7EB7">
        <w:rPr>
          <w:rFonts w:ascii="Times New Roman" w:hAnsi="Times New Roman" w:cs="Times New Roman"/>
          <w:sz w:val="18"/>
          <w:szCs w:val="18"/>
        </w:rPr>
        <w:t xml:space="preserve"> referidos a 2012. En general, para este tipo de encuestas a hogares, los </w:t>
      </w:r>
      <w:proofErr w:type="spellStart"/>
      <w:r w:rsidRPr="003B7EB7">
        <w:rPr>
          <w:rFonts w:ascii="Times New Roman" w:hAnsi="Times New Roman" w:cs="Times New Roman"/>
          <w:sz w:val="18"/>
          <w:szCs w:val="18"/>
        </w:rPr>
        <w:t>microdatos</w:t>
      </w:r>
      <w:proofErr w:type="spellEnd"/>
      <w:r w:rsidRPr="003B7EB7">
        <w:rPr>
          <w:rFonts w:ascii="Times New Roman" w:hAnsi="Times New Roman" w:cs="Times New Roman"/>
          <w:sz w:val="18"/>
          <w:szCs w:val="18"/>
        </w:rPr>
        <w:t xml:space="preserve"> suelen estar disponibles con dos años de retraso respecto a su fecha de referencia, bien porque la encuesta pregunta sobre ingresos del año vencido, así como porque la preparación de los datos para la posterior difusión también requiere su tiempo.</w:t>
      </w:r>
      <w:r>
        <w:rPr>
          <w:rFonts w:ascii="Times New Roman" w:hAnsi="Times New Roman" w:cs="Times New Roman"/>
          <w:sz w:val="18"/>
          <w:szCs w:val="18"/>
        </w:rPr>
        <w:t xml:space="preserve"> </w:t>
      </w:r>
    </w:p>
    <w:p w:rsidR="00421CBE" w:rsidRPr="00231B9C" w:rsidRDefault="00421CBE" w:rsidP="00652589">
      <w:pPr>
        <w:pStyle w:val="Textonotapie"/>
        <w:jc w:val="both"/>
        <w:rPr>
          <w:rFonts w:ascii="Times New Roman" w:hAnsi="Times New Roman" w:cs="Times New Roman"/>
          <w:color w:val="FF0000"/>
          <w:sz w:val="18"/>
          <w:szCs w:val="18"/>
          <w:highlight w:val="yellow"/>
        </w:rPr>
      </w:pPr>
      <w:r w:rsidRPr="00491ABC">
        <w:rPr>
          <w:rFonts w:ascii="Times New Roman" w:hAnsi="Times New Roman" w:cs="Times New Roman"/>
          <w:sz w:val="18"/>
          <w:szCs w:val="18"/>
        </w:rPr>
        <w:t xml:space="preserve">La última ola ECV2013 ha sufrido un cambio metodológico que produce la ruptura de la serie, introduciendo cambios importantes en la forma de obtención de los ingresos de los hogares, lo que implica la no homogeneidad de los nuevos datos respecto a los previos. Aunque el INE cuenta con los </w:t>
      </w:r>
      <w:proofErr w:type="spellStart"/>
      <w:r w:rsidRPr="00491ABC">
        <w:rPr>
          <w:rFonts w:ascii="Times New Roman" w:hAnsi="Times New Roman" w:cs="Times New Roman"/>
          <w:sz w:val="18"/>
          <w:szCs w:val="18"/>
        </w:rPr>
        <w:t>microdatos</w:t>
      </w:r>
      <w:proofErr w:type="spellEnd"/>
      <w:r w:rsidRPr="00491ABC">
        <w:rPr>
          <w:rFonts w:ascii="Times New Roman" w:hAnsi="Times New Roman" w:cs="Times New Roman"/>
          <w:sz w:val="18"/>
          <w:szCs w:val="18"/>
        </w:rPr>
        <w:t xml:space="preserve"> con la metodología antigua, curiosamente éstos no son de acceso libre, por lo que no hemos podido disponer de ellos para la realización de este trabajo, lo que nos ha llevado a restringir nuestro análisis al período 2008-2012.</w:t>
      </w:r>
    </w:p>
  </w:footnote>
  <w:footnote w:id="3">
    <w:p w:rsidR="00421CBE" w:rsidRPr="00794450" w:rsidRDefault="00421CBE" w:rsidP="0054458C">
      <w:pPr>
        <w:pStyle w:val="Textonotapie"/>
        <w:jc w:val="both"/>
        <w:rPr>
          <w:rFonts w:ascii="Times New Roman" w:hAnsi="Times New Roman" w:cs="Times New Roman"/>
          <w:sz w:val="18"/>
          <w:szCs w:val="18"/>
        </w:rPr>
      </w:pPr>
      <w:r w:rsidRPr="00794450">
        <w:rPr>
          <w:rStyle w:val="Refdenotaalpie"/>
          <w:rFonts w:ascii="Times New Roman" w:hAnsi="Times New Roman" w:cs="Times New Roman"/>
          <w:sz w:val="18"/>
          <w:szCs w:val="18"/>
        </w:rPr>
        <w:footnoteRef/>
      </w:r>
      <w:r w:rsidRPr="00794450">
        <w:rPr>
          <w:rFonts w:ascii="Times New Roman" w:hAnsi="Times New Roman" w:cs="Times New Roman"/>
          <w:sz w:val="18"/>
          <w:szCs w:val="18"/>
        </w:rPr>
        <w:t xml:space="preserve"> Esta escala pondera por 1 al primer adulto, por 0,5 a los restantes adultos de 14 o más años y  por 0</w:t>
      </w:r>
      <w:r>
        <w:rPr>
          <w:rFonts w:ascii="Times New Roman" w:hAnsi="Times New Roman" w:cs="Times New Roman"/>
          <w:sz w:val="18"/>
          <w:szCs w:val="18"/>
        </w:rPr>
        <w:t>,3 a los niños de menos de 14 añ</w:t>
      </w:r>
      <w:r w:rsidRPr="00794450">
        <w:rPr>
          <w:rFonts w:ascii="Times New Roman" w:hAnsi="Times New Roman" w:cs="Times New Roman"/>
          <w:sz w:val="18"/>
          <w:szCs w:val="18"/>
        </w:rPr>
        <w:t>os.</w:t>
      </w:r>
    </w:p>
  </w:footnote>
  <w:footnote w:id="4">
    <w:p w:rsidR="00421CBE" w:rsidRPr="00794450" w:rsidRDefault="00421CBE" w:rsidP="00B14ADE">
      <w:pPr>
        <w:pStyle w:val="Textonotapie"/>
        <w:jc w:val="both"/>
        <w:rPr>
          <w:rFonts w:ascii="Times New Roman" w:hAnsi="Times New Roman" w:cs="Times New Roman"/>
          <w:sz w:val="18"/>
          <w:szCs w:val="18"/>
        </w:rPr>
      </w:pPr>
      <w:r w:rsidRPr="00A73362">
        <w:rPr>
          <w:rStyle w:val="Refdenotaalpie"/>
          <w:rFonts w:ascii="Times New Roman" w:hAnsi="Times New Roman" w:cs="Times New Roman"/>
          <w:sz w:val="18"/>
          <w:szCs w:val="18"/>
        </w:rPr>
        <w:footnoteRef/>
      </w:r>
      <w:r w:rsidRPr="00A73362">
        <w:rPr>
          <w:rFonts w:ascii="Times New Roman" w:hAnsi="Times New Roman" w:cs="Times New Roman"/>
          <w:sz w:val="18"/>
          <w:szCs w:val="18"/>
        </w:rPr>
        <w:t xml:space="preserve"> La ECV de un año t proporciona ingresos del año natural anterior (ejemplo, la ECV2008 proporciona los ingresos percibidos por los hogares en 2007). Ello implica que, si bien la mayoría de las variables que contiene la ECV del año t recogen información de los hogares relativa al año t, las variables de ingresos están referidas al año t-1, por lo que cualquier estudio que tome como clave la variable ingresos podría asignar sus resultados tanto al año t (año de la encuesta) como al año t-1 (año de percepción de los ingresos). Es habitual que, tanto organismos oficiales –INE, EUROSTAT- como investigadores tomen como año de asignación de resultados el año de la encuesta. Siguiendo este criterio para facilitar la homogeneidad con otros estudios, también en este trabajo asignaremos los resultados al año de la encuesta (año t), aunque realmente se esté refiriendo a la situación económica y de pobreza de los hogares en el año anterior.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BE" w:rsidRDefault="00421CBE">
    <w:pPr>
      <w:pStyle w:val="Encabezado"/>
    </w:pPr>
    <w:r>
      <w:rPr>
        <w:noProof/>
        <w:lang w:val="es-ES" w:eastAsia="es-ES"/>
      </w:rPr>
      <w:drawing>
        <wp:inline distT="0" distB="0" distL="0" distR="0" wp14:anchorId="19AC4358" wp14:editId="00A04C5B">
          <wp:extent cx="5353050" cy="1000125"/>
          <wp:effectExtent l="19050" t="0" r="0" b="0"/>
          <wp:docPr id="4" name="Imagen 1" descr="cabecera_est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_estrecha"/>
                  <pic:cNvPicPr>
                    <a:picLocks noChangeAspect="1" noChangeArrowheads="1"/>
                  </pic:cNvPicPr>
                </pic:nvPicPr>
                <pic:blipFill>
                  <a:blip r:embed="rId1"/>
                  <a:srcRect/>
                  <a:stretch>
                    <a:fillRect/>
                  </a:stretch>
                </pic:blipFill>
                <pic:spPr bwMode="auto">
                  <a:xfrm>
                    <a:off x="0" y="0"/>
                    <a:ext cx="5353050" cy="1000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5C1F"/>
    <w:multiLevelType w:val="hybridMultilevel"/>
    <w:tmpl w:val="A17EF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610052"/>
    <w:multiLevelType w:val="hybridMultilevel"/>
    <w:tmpl w:val="C26422F0"/>
    <w:lvl w:ilvl="0" w:tplc="3F8E9A38">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BC"/>
    <w:rsid w:val="00001418"/>
    <w:rsid w:val="00006C66"/>
    <w:rsid w:val="00006F56"/>
    <w:rsid w:val="000103A3"/>
    <w:rsid w:val="00030D2D"/>
    <w:rsid w:val="000312E1"/>
    <w:rsid w:val="00033897"/>
    <w:rsid w:val="00033AF5"/>
    <w:rsid w:val="00034EA6"/>
    <w:rsid w:val="000445A5"/>
    <w:rsid w:val="00044A13"/>
    <w:rsid w:val="00056F3A"/>
    <w:rsid w:val="00060DA2"/>
    <w:rsid w:val="0006291D"/>
    <w:rsid w:val="00066AB7"/>
    <w:rsid w:val="000722E1"/>
    <w:rsid w:val="00076B9C"/>
    <w:rsid w:val="00081340"/>
    <w:rsid w:val="00082593"/>
    <w:rsid w:val="000866FF"/>
    <w:rsid w:val="00090DBD"/>
    <w:rsid w:val="00092F25"/>
    <w:rsid w:val="000931C9"/>
    <w:rsid w:val="00095B93"/>
    <w:rsid w:val="00095C70"/>
    <w:rsid w:val="000A3215"/>
    <w:rsid w:val="000A4564"/>
    <w:rsid w:val="000C1B92"/>
    <w:rsid w:val="000C20B1"/>
    <w:rsid w:val="000C25E0"/>
    <w:rsid w:val="000C4890"/>
    <w:rsid w:val="000C6F8C"/>
    <w:rsid w:val="000D77D9"/>
    <w:rsid w:val="000E70A3"/>
    <w:rsid w:val="000F16BE"/>
    <w:rsid w:val="000F6EDE"/>
    <w:rsid w:val="00100B26"/>
    <w:rsid w:val="00101EB6"/>
    <w:rsid w:val="0010352F"/>
    <w:rsid w:val="0010405D"/>
    <w:rsid w:val="001045A2"/>
    <w:rsid w:val="00107785"/>
    <w:rsid w:val="0010795F"/>
    <w:rsid w:val="00110283"/>
    <w:rsid w:val="00114399"/>
    <w:rsid w:val="001161BA"/>
    <w:rsid w:val="001220C2"/>
    <w:rsid w:val="00125AD0"/>
    <w:rsid w:val="00126292"/>
    <w:rsid w:val="00127AC7"/>
    <w:rsid w:val="00131291"/>
    <w:rsid w:val="001357D6"/>
    <w:rsid w:val="00135A41"/>
    <w:rsid w:val="00136984"/>
    <w:rsid w:val="001406D4"/>
    <w:rsid w:val="001433E1"/>
    <w:rsid w:val="001461DF"/>
    <w:rsid w:val="001545F1"/>
    <w:rsid w:val="001572DF"/>
    <w:rsid w:val="00165840"/>
    <w:rsid w:val="00166A7C"/>
    <w:rsid w:val="00170CFC"/>
    <w:rsid w:val="00173938"/>
    <w:rsid w:val="00182715"/>
    <w:rsid w:val="00187979"/>
    <w:rsid w:val="0019026C"/>
    <w:rsid w:val="001954B9"/>
    <w:rsid w:val="001A0F30"/>
    <w:rsid w:val="001B1A6D"/>
    <w:rsid w:val="001B3CD8"/>
    <w:rsid w:val="001B522C"/>
    <w:rsid w:val="001C593C"/>
    <w:rsid w:val="001C5FE1"/>
    <w:rsid w:val="001C67E1"/>
    <w:rsid w:val="001D0BFD"/>
    <w:rsid w:val="001D14F9"/>
    <w:rsid w:val="001D36F6"/>
    <w:rsid w:val="001E2C8A"/>
    <w:rsid w:val="001F27B7"/>
    <w:rsid w:val="00201C52"/>
    <w:rsid w:val="00206969"/>
    <w:rsid w:val="00206BDE"/>
    <w:rsid w:val="002137EC"/>
    <w:rsid w:val="002141F2"/>
    <w:rsid w:val="00221C97"/>
    <w:rsid w:val="00226385"/>
    <w:rsid w:val="00231B9C"/>
    <w:rsid w:val="002373C6"/>
    <w:rsid w:val="002376DA"/>
    <w:rsid w:val="00241A8B"/>
    <w:rsid w:val="0024267A"/>
    <w:rsid w:val="002451C4"/>
    <w:rsid w:val="002453E9"/>
    <w:rsid w:val="002458B9"/>
    <w:rsid w:val="00252C8A"/>
    <w:rsid w:val="002561A2"/>
    <w:rsid w:val="00261DD7"/>
    <w:rsid w:val="002646B3"/>
    <w:rsid w:val="00273AF6"/>
    <w:rsid w:val="002777F2"/>
    <w:rsid w:val="002840DC"/>
    <w:rsid w:val="00286E33"/>
    <w:rsid w:val="002873AD"/>
    <w:rsid w:val="00287866"/>
    <w:rsid w:val="0029034C"/>
    <w:rsid w:val="002A0605"/>
    <w:rsid w:val="002A1746"/>
    <w:rsid w:val="002B3D01"/>
    <w:rsid w:val="002B499D"/>
    <w:rsid w:val="002B5565"/>
    <w:rsid w:val="002C520A"/>
    <w:rsid w:val="002C5834"/>
    <w:rsid w:val="002C63AF"/>
    <w:rsid w:val="002D1DC9"/>
    <w:rsid w:val="002D27DD"/>
    <w:rsid w:val="002D2EB3"/>
    <w:rsid w:val="002D3760"/>
    <w:rsid w:val="002D6B18"/>
    <w:rsid w:val="002D7A8A"/>
    <w:rsid w:val="002D7C8C"/>
    <w:rsid w:val="002E3F4E"/>
    <w:rsid w:val="002F0634"/>
    <w:rsid w:val="002F1989"/>
    <w:rsid w:val="003002B2"/>
    <w:rsid w:val="003031BE"/>
    <w:rsid w:val="00303918"/>
    <w:rsid w:val="003119EC"/>
    <w:rsid w:val="00314517"/>
    <w:rsid w:val="0031514E"/>
    <w:rsid w:val="00322D5E"/>
    <w:rsid w:val="00343467"/>
    <w:rsid w:val="003502CE"/>
    <w:rsid w:val="003517D6"/>
    <w:rsid w:val="0035190C"/>
    <w:rsid w:val="0035562C"/>
    <w:rsid w:val="00360BA5"/>
    <w:rsid w:val="003659FC"/>
    <w:rsid w:val="003679E1"/>
    <w:rsid w:val="003742B7"/>
    <w:rsid w:val="003800BF"/>
    <w:rsid w:val="00380AA0"/>
    <w:rsid w:val="003858EF"/>
    <w:rsid w:val="00387375"/>
    <w:rsid w:val="00393874"/>
    <w:rsid w:val="0039537F"/>
    <w:rsid w:val="003A082C"/>
    <w:rsid w:val="003A4FDA"/>
    <w:rsid w:val="003B7EB7"/>
    <w:rsid w:val="003C302E"/>
    <w:rsid w:val="003C3148"/>
    <w:rsid w:val="003C4CAB"/>
    <w:rsid w:val="003D330F"/>
    <w:rsid w:val="003D33F0"/>
    <w:rsid w:val="003D3C70"/>
    <w:rsid w:val="003E0FA3"/>
    <w:rsid w:val="003E3871"/>
    <w:rsid w:val="003F158A"/>
    <w:rsid w:val="00400FBB"/>
    <w:rsid w:val="00404240"/>
    <w:rsid w:val="004046F6"/>
    <w:rsid w:val="0041370B"/>
    <w:rsid w:val="00421CBE"/>
    <w:rsid w:val="0042311C"/>
    <w:rsid w:val="00425527"/>
    <w:rsid w:val="00426D06"/>
    <w:rsid w:val="00434212"/>
    <w:rsid w:val="00436EC5"/>
    <w:rsid w:val="00440EB7"/>
    <w:rsid w:val="004416F8"/>
    <w:rsid w:val="00442D62"/>
    <w:rsid w:val="0045427A"/>
    <w:rsid w:val="004546B3"/>
    <w:rsid w:val="004558F8"/>
    <w:rsid w:val="00461AE7"/>
    <w:rsid w:val="00461D96"/>
    <w:rsid w:val="00462282"/>
    <w:rsid w:val="00465EB4"/>
    <w:rsid w:val="0047469C"/>
    <w:rsid w:val="00476747"/>
    <w:rsid w:val="00491ABC"/>
    <w:rsid w:val="004A1ED4"/>
    <w:rsid w:val="004A1F46"/>
    <w:rsid w:val="004A3CA5"/>
    <w:rsid w:val="004A451F"/>
    <w:rsid w:val="004A5CE3"/>
    <w:rsid w:val="004B189E"/>
    <w:rsid w:val="004B4BCD"/>
    <w:rsid w:val="004B5BDB"/>
    <w:rsid w:val="004B61F8"/>
    <w:rsid w:val="004C3D41"/>
    <w:rsid w:val="004C6AEE"/>
    <w:rsid w:val="004D3805"/>
    <w:rsid w:val="004D3C3B"/>
    <w:rsid w:val="004E5B0F"/>
    <w:rsid w:val="004E65B4"/>
    <w:rsid w:val="004F1F43"/>
    <w:rsid w:val="004F6002"/>
    <w:rsid w:val="004F719B"/>
    <w:rsid w:val="00500CE4"/>
    <w:rsid w:val="00500FF1"/>
    <w:rsid w:val="0050233E"/>
    <w:rsid w:val="00502B66"/>
    <w:rsid w:val="0050668C"/>
    <w:rsid w:val="00514A12"/>
    <w:rsid w:val="005176F8"/>
    <w:rsid w:val="00517CE9"/>
    <w:rsid w:val="00524DE8"/>
    <w:rsid w:val="00541244"/>
    <w:rsid w:val="00541E70"/>
    <w:rsid w:val="0054458C"/>
    <w:rsid w:val="005510DF"/>
    <w:rsid w:val="00554997"/>
    <w:rsid w:val="00566045"/>
    <w:rsid w:val="005726BB"/>
    <w:rsid w:val="00576F1F"/>
    <w:rsid w:val="00581523"/>
    <w:rsid w:val="00584A6E"/>
    <w:rsid w:val="005855A5"/>
    <w:rsid w:val="00591C79"/>
    <w:rsid w:val="005A0EB2"/>
    <w:rsid w:val="005A4B8A"/>
    <w:rsid w:val="005B09D0"/>
    <w:rsid w:val="005B0FFE"/>
    <w:rsid w:val="005B1D79"/>
    <w:rsid w:val="005B3167"/>
    <w:rsid w:val="005B65B5"/>
    <w:rsid w:val="005C6E86"/>
    <w:rsid w:val="005D1E96"/>
    <w:rsid w:val="005E0BB6"/>
    <w:rsid w:val="005E0C3D"/>
    <w:rsid w:val="005E1B79"/>
    <w:rsid w:val="005E4C4F"/>
    <w:rsid w:val="005E7971"/>
    <w:rsid w:val="005F37B6"/>
    <w:rsid w:val="005F784E"/>
    <w:rsid w:val="006005CE"/>
    <w:rsid w:val="00604966"/>
    <w:rsid w:val="00616EBB"/>
    <w:rsid w:val="006171C9"/>
    <w:rsid w:val="00617B62"/>
    <w:rsid w:val="00633E0B"/>
    <w:rsid w:val="00633F9F"/>
    <w:rsid w:val="00634D53"/>
    <w:rsid w:val="00635855"/>
    <w:rsid w:val="00636804"/>
    <w:rsid w:val="00652589"/>
    <w:rsid w:val="006526B3"/>
    <w:rsid w:val="00665366"/>
    <w:rsid w:val="00665919"/>
    <w:rsid w:val="00665A83"/>
    <w:rsid w:val="00682771"/>
    <w:rsid w:val="00687568"/>
    <w:rsid w:val="00694D20"/>
    <w:rsid w:val="0069695B"/>
    <w:rsid w:val="00697149"/>
    <w:rsid w:val="006A4AC9"/>
    <w:rsid w:val="006A4BCE"/>
    <w:rsid w:val="006B2C41"/>
    <w:rsid w:val="006B45CA"/>
    <w:rsid w:val="006B5099"/>
    <w:rsid w:val="006B62E1"/>
    <w:rsid w:val="006C02BD"/>
    <w:rsid w:val="006C0519"/>
    <w:rsid w:val="006C73B0"/>
    <w:rsid w:val="006C76D3"/>
    <w:rsid w:val="006D2198"/>
    <w:rsid w:val="006D285B"/>
    <w:rsid w:val="006D2D66"/>
    <w:rsid w:val="006D33A5"/>
    <w:rsid w:val="006D635B"/>
    <w:rsid w:val="006D6B1F"/>
    <w:rsid w:val="006E3CBE"/>
    <w:rsid w:val="006E6AB2"/>
    <w:rsid w:val="006F670E"/>
    <w:rsid w:val="007034AA"/>
    <w:rsid w:val="00703AA0"/>
    <w:rsid w:val="00703C66"/>
    <w:rsid w:val="007051A4"/>
    <w:rsid w:val="00715D9B"/>
    <w:rsid w:val="00715FF2"/>
    <w:rsid w:val="00716DA9"/>
    <w:rsid w:val="00725396"/>
    <w:rsid w:val="007270CD"/>
    <w:rsid w:val="00730483"/>
    <w:rsid w:val="0073550E"/>
    <w:rsid w:val="00750E73"/>
    <w:rsid w:val="00752DDC"/>
    <w:rsid w:val="00754E86"/>
    <w:rsid w:val="00757BB5"/>
    <w:rsid w:val="007619B5"/>
    <w:rsid w:val="00766EDD"/>
    <w:rsid w:val="00767F1C"/>
    <w:rsid w:val="0078012F"/>
    <w:rsid w:val="007802AF"/>
    <w:rsid w:val="007846D3"/>
    <w:rsid w:val="007925A9"/>
    <w:rsid w:val="007951CE"/>
    <w:rsid w:val="00796C9A"/>
    <w:rsid w:val="007A6B08"/>
    <w:rsid w:val="007B1047"/>
    <w:rsid w:val="007B25ED"/>
    <w:rsid w:val="007C007C"/>
    <w:rsid w:val="007C0D83"/>
    <w:rsid w:val="007C0F9F"/>
    <w:rsid w:val="007C2900"/>
    <w:rsid w:val="007D2FD0"/>
    <w:rsid w:val="007D43FC"/>
    <w:rsid w:val="007E07BE"/>
    <w:rsid w:val="007E2C0C"/>
    <w:rsid w:val="007F248C"/>
    <w:rsid w:val="007F24FC"/>
    <w:rsid w:val="007F3FAB"/>
    <w:rsid w:val="00800D26"/>
    <w:rsid w:val="00803B12"/>
    <w:rsid w:val="00807075"/>
    <w:rsid w:val="00810CBB"/>
    <w:rsid w:val="0081148C"/>
    <w:rsid w:val="00812979"/>
    <w:rsid w:val="00813FF2"/>
    <w:rsid w:val="008161EE"/>
    <w:rsid w:val="008165AE"/>
    <w:rsid w:val="00820831"/>
    <w:rsid w:val="00821818"/>
    <w:rsid w:val="00822887"/>
    <w:rsid w:val="00823799"/>
    <w:rsid w:val="00826A78"/>
    <w:rsid w:val="00826F85"/>
    <w:rsid w:val="00827BA5"/>
    <w:rsid w:val="0083094C"/>
    <w:rsid w:val="00832AC9"/>
    <w:rsid w:val="00836464"/>
    <w:rsid w:val="008434C8"/>
    <w:rsid w:val="00843A41"/>
    <w:rsid w:val="0085045D"/>
    <w:rsid w:val="00850548"/>
    <w:rsid w:val="00865D0C"/>
    <w:rsid w:val="00866710"/>
    <w:rsid w:val="00871943"/>
    <w:rsid w:val="008741F2"/>
    <w:rsid w:val="00887B85"/>
    <w:rsid w:val="008939E8"/>
    <w:rsid w:val="00897BA6"/>
    <w:rsid w:val="008A0CE1"/>
    <w:rsid w:val="008A1533"/>
    <w:rsid w:val="008A19EF"/>
    <w:rsid w:val="008A6300"/>
    <w:rsid w:val="008A74DE"/>
    <w:rsid w:val="008B1064"/>
    <w:rsid w:val="008B1DDE"/>
    <w:rsid w:val="008B4B50"/>
    <w:rsid w:val="008B5AE8"/>
    <w:rsid w:val="008B5BB0"/>
    <w:rsid w:val="008C2164"/>
    <w:rsid w:val="008D1517"/>
    <w:rsid w:val="008D4AB0"/>
    <w:rsid w:val="008D6EF4"/>
    <w:rsid w:val="008E6686"/>
    <w:rsid w:val="00903782"/>
    <w:rsid w:val="0090466F"/>
    <w:rsid w:val="00905DC1"/>
    <w:rsid w:val="00912C8A"/>
    <w:rsid w:val="00913B90"/>
    <w:rsid w:val="00916FAA"/>
    <w:rsid w:val="00921CA0"/>
    <w:rsid w:val="009221DB"/>
    <w:rsid w:val="0092476B"/>
    <w:rsid w:val="00930F4D"/>
    <w:rsid w:val="00932790"/>
    <w:rsid w:val="00942816"/>
    <w:rsid w:val="009436F8"/>
    <w:rsid w:val="00943F85"/>
    <w:rsid w:val="0095348F"/>
    <w:rsid w:val="00954D4D"/>
    <w:rsid w:val="00957BB7"/>
    <w:rsid w:val="00961892"/>
    <w:rsid w:val="00964E74"/>
    <w:rsid w:val="00970E5D"/>
    <w:rsid w:val="00971A31"/>
    <w:rsid w:val="009859D2"/>
    <w:rsid w:val="00992F2C"/>
    <w:rsid w:val="009B2980"/>
    <w:rsid w:val="009B34A6"/>
    <w:rsid w:val="009B6D14"/>
    <w:rsid w:val="009C342C"/>
    <w:rsid w:val="009C7C89"/>
    <w:rsid w:val="009C7EC7"/>
    <w:rsid w:val="009D2375"/>
    <w:rsid w:val="009D480A"/>
    <w:rsid w:val="009E5F58"/>
    <w:rsid w:val="009E611C"/>
    <w:rsid w:val="009E74FE"/>
    <w:rsid w:val="009F2550"/>
    <w:rsid w:val="009F2EB0"/>
    <w:rsid w:val="00A1688E"/>
    <w:rsid w:val="00A20364"/>
    <w:rsid w:val="00A24892"/>
    <w:rsid w:val="00A24C62"/>
    <w:rsid w:val="00A31995"/>
    <w:rsid w:val="00A3378B"/>
    <w:rsid w:val="00A34004"/>
    <w:rsid w:val="00A374DA"/>
    <w:rsid w:val="00A37DAE"/>
    <w:rsid w:val="00A41515"/>
    <w:rsid w:val="00A502C6"/>
    <w:rsid w:val="00A537B5"/>
    <w:rsid w:val="00A54883"/>
    <w:rsid w:val="00A5706C"/>
    <w:rsid w:val="00A646E9"/>
    <w:rsid w:val="00A708F9"/>
    <w:rsid w:val="00A70E90"/>
    <w:rsid w:val="00A73362"/>
    <w:rsid w:val="00A73A2C"/>
    <w:rsid w:val="00A77BD5"/>
    <w:rsid w:val="00A8030E"/>
    <w:rsid w:val="00A80727"/>
    <w:rsid w:val="00A905DA"/>
    <w:rsid w:val="00A92FCE"/>
    <w:rsid w:val="00AA04E2"/>
    <w:rsid w:val="00AA17CC"/>
    <w:rsid w:val="00AA3283"/>
    <w:rsid w:val="00AB09DA"/>
    <w:rsid w:val="00AB369D"/>
    <w:rsid w:val="00AB64C1"/>
    <w:rsid w:val="00AB7686"/>
    <w:rsid w:val="00AC008A"/>
    <w:rsid w:val="00AC1592"/>
    <w:rsid w:val="00AD0B2F"/>
    <w:rsid w:val="00AD190D"/>
    <w:rsid w:val="00AD37B1"/>
    <w:rsid w:val="00AD57DB"/>
    <w:rsid w:val="00AE3342"/>
    <w:rsid w:val="00AF740E"/>
    <w:rsid w:val="00B02F19"/>
    <w:rsid w:val="00B03C33"/>
    <w:rsid w:val="00B04FAA"/>
    <w:rsid w:val="00B05EBE"/>
    <w:rsid w:val="00B06970"/>
    <w:rsid w:val="00B11C07"/>
    <w:rsid w:val="00B14ADE"/>
    <w:rsid w:val="00B31ED2"/>
    <w:rsid w:val="00B44733"/>
    <w:rsid w:val="00B45BC5"/>
    <w:rsid w:val="00B47343"/>
    <w:rsid w:val="00B508B0"/>
    <w:rsid w:val="00B6349F"/>
    <w:rsid w:val="00B638B7"/>
    <w:rsid w:val="00B64145"/>
    <w:rsid w:val="00B66964"/>
    <w:rsid w:val="00B716D3"/>
    <w:rsid w:val="00B83BE1"/>
    <w:rsid w:val="00B87BE1"/>
    <w:rsid w:val="00B87C9A"/>
    <w:rsid w:val="00B90D38"/>
    <w:rsid w:val="00B911A4"/>
    <w:rsid w:val="00B94C04"/>
    <w:rsid w:val="00BA2739"/>
    <w:rsid w:val="00BA4A0F"/>
    <w:rsid w:val="00BC13CE"/>
    <w:rsid w:val="00BD45BD"/>
    <w:rsid w:val="00BE0C20"/>
    <w:rsid w:val="00BE1AB7"/>
    <w:rsid w:val="00BE3550"/>
    <w:rsid w:val="00BE3E51"/>
    <w:rsid w:val="00BE5708"/>
    <w:rsid w:val="00BF1733"/>
    <w:rsid w:val="00BF3FA3"/>
    <w:rsid w:val="00C124D9"/>
    <w:rsid w:val="00C23B11"/>
    <w:rsid w:val="00C242BC"/>
    <w:rsid w:val="00C25D28"/>
    <w:rsid w:val="00C27A17"/>
    <w:rsid w:val="00C358C9"/>
    <w:rsid w:val="00C41EAF"/>
    <w:rsid w:val="00C42C22"/>
    <w:rsid w:val="00C448F6"/>
    <w:rsid w:val="00C47185"/>
    <w:rsid w:val="00C47768"/>
    <w:rsid w:val="00C47A32"/>
    <w:rsid w:val="00C515D2"/>
    <w:rsid w:val="00C5378F"/>
    <w:rsid w:val="00C61F3F"/>
    <w:rsid w:val="00C71E2D"/>
    <w:rsid w:val="00C7291B"/>
    <w:rsid w:val="00C74119"/>
    <w:rsid w:val="00C80D13"/>
    <w:rsid w:val="00C81033"/>
    <w:rsid w:val="00C823BA"/>
    <w:rsid w:val="00C96C57"/>
    <w:rsid w:val="00CA5244"/>
    <w:rsid w:val="00CB19B4"/>
    <w:rsid w:val="00CB1ECC"/>
    <w:rsid w:val="00CB2B82"/>
    <w:rsid w:val="00CB4D1D"/>
    <w:rsid w:val="00CB559E"/>
    <w:rsid w:val="00CB612E"/>
    <w:rsid w:val="00CC0ADF"/>
    <w:rsid w:val="00CC51A2"/>
    <w:rsid w:val="00CC5948"/>
    <w:rsid w:val="00CD4CBE"/>
    <w:rsid w:val="00CE202A"/>
    <w:rsid w:val="00CE65EB"/>
    <w:rsid w:val="00CE75CE"/>
    <w:rsid w:val="00CF6AFF"/>
    <w:rsid w:val="00D009B4"/>
    <w:rsid w:val="00D05E1F"/>
    <w:rsid w:val="00D1253C"/>
    <w:rsid w:val="00D141FF"/>
    <w:rsid w:val="00D23B2A"/>
    <w:rsid w:val="00D314FC"/>
    <w:rsid w:val="00D315BE"/>
    <w:rsid w:val="00D32883"/>
    <w:rsid w:val="00D356F7"/>
    <w:rsid w:val="00D36322"/>
    <w:rsid w:val="00D40766"/>
    <w:rsid w:val="00D466A0"/>
    <w:rsid w:val="00D52901"/>
    <w:rsid w:val="00D537B1"/>
    <w:rsid w:val="00D53FDC"/>
    <w:rsid w:val="00D56AC2"/>
    <w:rsid w:val="00D703BC"/>
    <w:rsid w:val="00D772AD"/>
    <w:rsid w:val="00D77336"/>
    <w:rsid w:val="00D816D0"/>
    <w:rsid w:val="00D84395"/>
    <w:rsid w:val="00D8444A"/>
    <w:rsid w:val="00D86CD9"/>
    <w:rsid w:val="00D9355D"/>
    <w:rsid w:val="00D94D50"/>
    <w:rsid w:val="00DA1D35"/>
    <w:rsid w:val="00DA350D"/>
    <w:rsid w:val="00DB118C"/>
    <w:rsid w:val="00DB28E8"/>
    <w:rsid w:val="00DC177A"/>
    <w:rsid w:val="00DC3EF4"/>
    <w:rsid w:val="00DC6E46"/>
    <w:rsid w:val="00DD2405"/>
    <w:rsid w:val="00DD54E1"/>
    <w:rsid w:val="00DD70A6"/>
    <w:rsid w:val="00DE5D17"/>
    <w:rsid w:val="00DE6E37"/>
    <w:rsid w:val="00DF51EF"/>
    <w:rsid w:val="00DF7028"/>
    <w:rsid w:val="00DF70EE"/>
    <w:rsid w:val="00E07C46"/>
    <w:rsid w:val="00E10E4D"/>
    <w:rsid w:val="00E116D3"/>
    <w:rsid w:val="00E13E58"/>
    <w:rsid w:val="00E14D20"/>
    <w:rsid w:val="00E31AC2"/>
    <w:rsid w:val="00E351B7"/>
    <w:rsid w:val="00E4664C"/>
    <w:rsid w:val="00E53236"/>
    <w:rsid w:val="00E5591E"/>
    <w:rsid w:val="00E617C0"/>
    <w:rsid w:val="00E64E6D"/>
    <w:rsid w:val="00E72219"/>
    <w:rsid w:val="00E7282A"/>
    <w:rsid w:val="00E72AC0"/>
    <w:rsid w:val="00E74475"/>
    <w:rsid w:val="00E768E0"/>
    <w:rsid w:val="00E76BBD"/>
    <w:rsid w:val="00E8263F"/>
    <w:rsid w:val="00E907DB"/>
    <w:rsid w:val="00EA023B"/>
    <w:rsid w:val="00EA02E0"/>
    <w:rsid w:val="00EA7D31"/>
    <w:rsid w:val="00EB4C90"/>
    <w:rsid w:val="00EC3A41"/>
    <w:rsid w:val="00EC418B"/>
    <w:rsid w:val="00ED588B"/>
    <w:rsid w:val="00EE49A8"/>
    <w:rsid w:val="00EF2754"/>
    <w:rsid w:val="00EF49E7"/>
    <w:rsid w:val="00F03150"/>
    <w:rsid w:val="00F06225"/>
    <w:rsid w:val="00F146C5"/>
    <w:rsid w:val="00F17089"/>
    <w:rsid w:val="00F20E56"/>
    <w:rsid w:val="00F25EF8"/>
    <w:rsid w:val="00F27A4C"/>
    <w:rsid w:val="00F40DF7"/>
    <w:rsid w:val="00F4609C"/>
    <w:rsid w:val="00F51C0E"/>
    <w:rsid w:val="00F51ECB"/>
    <w:rsid w:val="00F53667"/>
    <w:rsid w:val="00F56498"/>
    <w:rsid w:val="00F615B0"/>
    <w:rsid w:val="00F62FFA"/>
    <w:rsid w:val="00F6492B"/>
    <w:rsid w:val="00F70691"/>
    <w:rsid w:val="00F71685"/>
    <w:rsid w:val="00F75E9B"/>
    <w:rsid w:val="00F81E87"/>
    <w:rsid w:val="00F82A9E"/>
    <w:rsid w:val="00FA32CC"/>
    <w:rsid w:val="00FB2D88"/>
    <w:rsid w:val="00FB467E"/>
    <w:rsid w:val="00FB6856"/>
    <w:rsid w:val="00FC14BC"/>
    <w:rsid w:val="00FC432D"/>
    <w:rsid w:val="00FC4C3B"/>
    <w:rsid w:val="00FD49A2"/>
    <w:rsid w:val="00FD7785"/>
    <w:rsid w:val="00FF4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10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047"/>
    <w:rPr>
      <w:rFonts w:ascii="Tahoma" w:hAnsi="Tahoma" w:cs="Tahoma"/>
      <w:sz w:val="16"/>
      <w:szCs w:val="16"/>
    </w:rPr>
  </w:style>
  <w:style w:type="paragraph" w:styleId="Textonotapie">
    <w:name w:val="footnote text"/>
    <w:basedOn w:val="Normal"/>
    <w:link w:val="TextonotapieCar"/>
    <w:uiPriority w:val="99"/>
    <w:unhideWhenUsed/>
    <w:rsid w:val="0054458C"/>
    <w:pPr>
      <w:spacing w:after="0" w:line="240" w:lineRule="auto"/>
    </w:pPr>
    <w:rPr>
      <w:rFonts w:eastAsiaTheme="minorEastAsia"/>
      <w:sz w:val="20"/>
      <w:szCs w:val="20"/>
      <w:lang w:val="es-ES" w:eastAsia="zh-TW" w:bidi="he-IL"/>
    </w:rPr>
  </w:style>
  <w:style w:type="character" w:customStyle="1" w:styleId="TextonotapieCar">
    <w:name w:val="Texto nota pie Car"/>
    <w:basedOn w:val="Fuentedeprrafopredeter"/>
    <w:link w:val="Textonotapie"/>
    <w:uiPriority w:val="99"/>
    <w:rsid w:val="0054458C"/>
    <w:rPr>
      <w:rFonts w:eastAsiaTheme="minorEastAsia"/>
      <w:sz w:val="20"/>
      <w:szCs w:val="20"/>
      <w:lang w:val="es-ES" w:eastAsia="zh-TW" w:bidi="he-IL"/>
    </w:rPr>
  </w:style>
  <w:style w:type="character" w:styleId="Refdenotaalpie">
    <w:name w:val="footnote reference"/>
    <w:basedOn w:val="Fuentedeprrafopredeter"/>
    <w:uiPriority w:val="99"/>
    <w:unhideWhenUsed/>
    <w:rsid w:val="0054458C"/>
    <w:rPr>
      <w:vertAlign w:val="superscript"/>
    </w:rPr>
  </w:style>
  <w:style w:type="character" w:styleId="Hipervnculo">
    <w:name w:val="Hyperlink"/>
    <w:basedOn w:val="Fuentedeprrafopredeter"/>
    <w:uiPriority w:val="99"/>
    <w:unhideWhenUsed/>
    <w:rsid w:val="0054458C"/>
    <w:rPr>
      <w:color w:val="0000FF" w:themeColor="hyperlink"/>
      <w:u w:val="single"/>
    </w:rPr>
  </w:style>
  <w:style w:type="character" w:customStyle="1" w:styleId="apple-converted-space">
    <w:name w:val="apple-converted-space"/>
    <w:basedOn w:val="Fuentedeprrafopredeter"/>
    <w:rsid w:val="00442D62"/>
  </w:style>
  <w:style w:type="paragraph" w:styleId="Prrafodelista">
    <w:name w:val="List Paragraph"/>
    <w:basedOn w:val="Normal"/>
    <w:uiPriority w:val="34"/>
    <w:qFormat/>
    <w:rsid w:val="00AD37B1"/>
    <w:pPr>
      <w:ind w:left="720"/>
      <w:contextualSpacing/>
    </w:pPr>
  </w:style>
  <w:style w:type="paragraph" w:styleId="Encabezado">
    <w:name w:val="header"/>
    <w:basedOn w:val="Normal"/>
    <w:link w:val="EncabezadoCar"/>
    <w:uiPriority w:val="99"/>
    <w:unhideWhenUsed/>
    <w:rsid w:val="00AD37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37B1"/>
    <w:rPr>
      <w:lang w:val="es-ES"/>
    </w:rPr>
  </w:style>
  <w:style w:type="paragraph" w:styleId="Piedepgina">
    <w:name w:val="footer"/>
    <w:basedOn w:val="Normal"/>
    <w:link w:val="PiedepginaCar"/>
    <w:uiPriority w:val="99"/>
    <w:unhideWhenUsed/>
    <w:rsid w:val="00AD37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7B1"/>
    <w:rPr>
      <w:lang w:val="es-ES"/>
    </w:rPr>
  </w:style>
  <w:style w:type="character" w:styleId="Refdecomentario">
    <w:name w:val="annotation reference"/>
    <w:basedOn w:val="Fuentedeprrafopredeter"/>
    <w:uiPriority w:val="99"/>
    <w:semiHidden/>
    <w:unhideWhenUsed/>
    <w:rsid w:val="0073550E"/>
    <w:rPr>
      <w:sz w:val="16"/>
      <w:szCs w:val="16"/>
    </w:rPr>
  </w:style>
  <w:style w:type="paragraph" w:styleId="Textocomentario">
    <w:name w:val="annotation text"/>
    <w:basedOn w:val="Normal"/>
    <w:link w:val="TextocomentarioCar"/>
    <w:uiPriority w:val="99"/>
    <w:semiHidden/>
    <w:unhideWhenUsed/>
    <w:rsid w:val="007355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550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3550E"/>
    <w:rPr>
      <w:b/>
      <w:bCs/>
    </w:rPr>
  </w:style>
  <w:style w:type="character" w:customStyle="1" w:styleId="AsuntodelcomentarioCar">
    <w:name w:val="Asunto del comentario Car"/>
    <w:basedOn w:val="TextocomentarioCar"/>
    <w:link w:val="Asuntodelcomentario"/>
    <w:uiPriority w:val="99"/>
    <w:semiHidden/>
    <w:rsid w:val="0073550E"/>
    <w:rPr>
      <w:b/>
      <w:bCs/>
      <w:sz w:val="20"/>
      <w:szCs w:val="20"/>
      <w:lang w:val="es-ES"/>
    </w:rPr>
  </w:style>
  <w:style w:type="character" w:styleId="Textodelmarcadordeposicin">
    <w:name w:val="Placeholder Text"/>
    <w:basedOn w:val="Fuentedeprrafopredeter"/>
    <w:uiPriority w:val="99"/>
    <w:semiHidden/>
    <w:rsid w:val="0041370B"/>
    <w:rPr>
      <w:color w:val="808080"/>
    </w:rPr>
  </w:style>
  <w:style w:type="character" w:styleId="Hipervnculovisitado">
    <w:name w:val="FollowedHyperlink"/>
    <w:basedOn w:val="Fuentedeprrafopredeter"/>
    <w:uiPriority w:val="99"/>
    <w:semiHidden/>
    <w:unhideWhenUsed/>
    <w:rsid w:val="00090DBD"/>
    <w:rPr>
      <w:color w:val="800080" w:themeColor="followedHyperlink"/>
      <w:u w:val="single"/>
    </w:rPr>
  </w:style>
  <w:style w:type="paragraph" w:styleId="NormalWeb">
    <w:name w:val="Normal (Web)"/>
    <w:basedOn w:val="Normal"/>
    <w:uiPriority w:val="99"/>
    <w:semiHidden/>
    <w:unhideWhenUsed/>
    <w:rsid w:val="004A1ED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10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047"/>
    <w:rPr>
      <w:rFonts w:ascii="Tahoma" w:hAnsi="Tahoma" w:cs="Tahoma"/>
      <w:sz w:val="16"/>
      <w:szCs w:val="16"/>
    </w:rPr>
  </w:style>
  <w:style w:type="paragraph" w:styleId="Textonotapie">
    <w:name w:val="footnote text"/>
    <w:basedOn w:val="Normal"/>
    <w:link w:val="TextonotapieCar"/>
    <w:uiPriority w:val="99"/>
    <w:unhideWhenUsed/>
    <w:rsid w:val="0054458C"/>
    <w:pPr>
      <w:spacing w:after="0" w:line="240" w:lineRule="auto"/>
    </w:pPr>
    <w:rPr>
      <w:rFonts w:eastAsiaTheme="minorEastAsia"/>
      <w:sz w:val="20"/>
      <w:szCs w:val="20"/>
      <w:lang w:val="es-ES" w:eastAsia="zh-TW" w:bidi="he-IL"/>
    </w:rPr>
  </w:style>
  <w:style w:type="character" w:customStyle="1" w:styleId="TextonotapieCar">
    <w:name w:val="Texto nota pie Car"/>
    <w:basedOn w:val="Fuentedeprrafopredeter"/>
    <w:link w:val="Textonotapie"/>
    <w:uiPriority w:val="99"/>
    <w:rsid w:val="0054458C"/>
    <w:rPr>
      <w:rFonts w:eastAsiaTheme="minorEastAsia"/>
      <w:sz w:val="20"/>
      <w:szCs w:val="20"/>
      <w:lang w:val="es-ES" w:eastAsia="zh-TW" w:bidi="he-IL"/>
    </w:rPr>
  </w:style>
  <w:style w:type="character" w:styleId="Refdenotaalpie">
    <w:name w:val="footnote reference"/>
    <w:basedOn w:val="Fuentedeprrafopredeter"/>
    <w:uiPriority w:val="99"/>
    <w:unhideWhenUsed/>
    <w:rsid w:val="0054458C"/>
    <w:rPr>
      <w:vertAlign w:val="superscript"/>
    </w:rPr>
  </w:style>
  <w:style w:type="character" w:styleId="Hipervnculo">
    <w:name w:val="Hyperlink"/>
    <w:basedOn w:val="Fuentedeprrafopredeter"/>
    <w:uiPriority w:val="99"/>
    <w:unhideWhenUsed/>
    <w:rsid w:val="0054458C"/>
    <w:rPr>
      <w:color w:val="0000FF" w:themeColor="hyperlink"/>
      <w:u w:val="single"/>
    </w:rPr>
  </w:style>
  <w:style w:type="character" w:customStyle="1" w:styleId="apple-converted-space">
    <w:name w:val="apple-converted-space"/>
    <w:basedOn w:val="Fuentedeprrafopredeter"/>
    <w:rsid w:val="00442D62"/>
  </w:style>
  <w:style w:type="paragraph" w:styleId="Prrafodelista">
    <w:name w:val="List Paragraph"/>
    <w:basedOn w:val="Normal"/>
    <w:uiPriority w:val="34"/>
    <w:qFormat/>
    <w:rsid w:val="00AD37B1"/>
    <w:pPr>
      <w:ind w:left="720"/>
      <w:contextualSpacing/>
    </w:pPr>
  </w:style>
  <w:style w:type="paragraph" w:styleId="Encabezado">
    <w:name w:val="header"/>
    <w:basedOn w:val="Normal"/>
    <w:link w:val="EncabezadoCar"/>
    <w:uiPriority w:val="99"/>
    <w:unhideWhenUsed/>
    <w:rsid w:val="00AD37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37B1"/>
    <w:rPr>
      <w:lang w:val="es-ES"/>
    </w:rPr>
  </w:style>
  <w:style w:type="paragraph" w:styleId="Piedepgina">
    <w:name w:val="footer"/>
    <w:basedOn w:val="Normal"/>
    <w:link w:val="PiedepginaCar"/>
    <w:uiPriority w:val="99"/>
    <w:unhideWhenUsed/>
    <w:rsid w:val="00AD37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7B1"/>
    <w:rPr>
      <w:lang w:val="es-ES"/>
    </w:rPr>
  </w:style>
  <w:style w:type="character" w:styleId="Refdecomentario">
    <w:name w:val="annotation reference"/>
    <w:basedOn w:val="Fuentedeprrafopredeter"/>
    <w:uiPriority w:val="99"/>
    <w:semiHidden/>
    <w:unhideWhenUsed/>
    <w:rsid w:val="0073550E"/>
    <w:rPr>
      <w:sz w:val="16"/>
      <w:szCs w:val="16"/>
    </w:rPr>
  </w:style>
  <w:style w:type="paragraph" w:styleId="Textocomentario">
    <w:name w:val="annotation text"/>
    <w:basedOn w:val="Normal"/>
    <w:link w:val="TextocomentarioCar"/>
    <w:uiPriority w:val="99"/>
    <w:semiHidden/>
    <w:unhideWhenUsed/>
    <w:rsid w:val="007355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550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3550E"/>
    <w:rPr>
      <w:b/>
      <w:bCs/>
    </w:rPr>
  </w:style>
  <w:style w:type="character" w:customStyle="1" w:styleId="AsuntodelcomentarioCar">
    <w:name w:val="Asunto del comentario Car"/>
    <w:basedOn w:val="TextocomentarioCar"/>
    <w:link w:val="Asuntodelcomentario"/>
    <w:uiPriority w:val="99"/>
    <w:semiHidden/>
    <w:rsid w:val="0073550E"/>
    <w:rPr>
      <w:b/>
      <w:bCs/>
      <w:sz w:val="20"/>
      <w:szCs w:val="20"/>
      <w:lang w:val="es-ES"/>
    </w:rPr>
  </w:style>
  <w:style w:type="character" w:styleId="Textodelmarcadordeposicin">
    <w:name w:val="Placeholder Text"/>
    <w:basedOn w:val="Fuentedeprrafopredeter"/>
    <w:uiPriority w:val="99"/>
    <w:semiHidden/>
    <w:rsid w:val="0041370B"/>
    <w:rPr>
      <w:color w:val="808080"/>
    </w:rPr>
  </w:style>
  <w:style w:type="character" w:styleId="Hipervnculovisitado">
    <w:name w:val="FollowedHyperlink"/>
    <w:basedOn w:val="Fuentedeprrafopredeter"/>
    <w:uiPriority w:val="99"/>
    <w:semiHidden/>
    <w:unhideWhenUsed/>
    <w:rsid w:val="00090DBD"/>
    <w:rPr>
      <w:color w:val="800080" w:themeColor="followedHyperlink"/>
      <w:u w:val="single"/>
    </w:rPr>
  </w:style>
  <w:style w:type="paragraph" w:styleId="NormalWeb">
    <w:name w:val="Normal (Web)"/>
    <w:basedOn w:val="Normal"/>
    <w:uiPriority w:val="99"/>
    <w:semiHidden/>
    <w:unhideWhenUsed/>
    <w:rsid w:val="004A1ED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104007012">
      <w:bodyDiv w:val="1"/>
      <w:marLeft w:val="0"/>
      <w:marRight w:val="0"/>
      <w:marTop w:val="0"/>
      <w:marBottom w:val="0"/>
      <w:divBdr>
        <w:top w:val="none" w:sz="0" w:space="0" w:color="auto"/>
        <w:left w:val="none" w:sz="0" w:space="0" w:color="auto"/>
        <w:bottom w:val="none" w:sz="0" w:space="0" w:color="auto"/>
        <w:right w:val="none" w:sz="0" w:space="0" w:color="auto"/>
      </w:divBdr>
    </w:div>
    <w:div w:id="164905996">
      <w:bodyDiv w:val="1"/>
      <w:marLeft w:val="0"/>
      <w:marRight w:val="0"/>
      <w:marTop w:val="0"/>
      <w:marBottom w:val="0"/>
      <w:divBdr>
        <w:top w:val="none" w:sz="0" w:space="0" w:color="auto"/>
        <w:left w:val="none" w:sz="0" w:space="0" w:color="auto"/>
        <w:bottom w:val="none" w:sz="0" w:space="0" w:color="auto"/>
        <w:right w:val="none" w:sz="0" w:space="0" w:color="auto"/>
      </w:divBdr>
    </w:div>
    <w:div w:id="345327599">
      <w:bodyDiv w:val="1"/>
      <w:marLeft w:val="0"/>
      <w:marRight w:val="0"/>
      <w:marTop w:val="0"/>
      <w:marBottom w:val="0"/>
      <w:divBdr>
        <w:top w:val="none" w:sz="0" w:space="0" w:color="auto"/>
        <w:left w:val="none" w:sz="0" w:space="0" w:color="auto"/>
        <w:bottom w:val="none" w:sz="0" w:space="0" w:color="auto"/>
        <w:right w:val="none" w:sz="0" w:space="0" w:color="auto"/>
      </w:divBdr>
    </w:div>
    <w:div w:id="423457596">
      <w:bodyDiv w:val="1"/>
      <w:marLeft w:val="0"/>
      <w:marRight w:val="0"/>
      <w:marTop w:val="0"/>
      <w:marBottom w:val="0"/>
      <w:divBdr>
        <w:top w:val="none" w:sz="0" w:space="0" w:color="auto"/>
        <w:left w:val="none" w:sz="0" w:space="0" w:color="auto"/>
        <w:bottom w:val="none" w:sz="0" w:space="0" w:color="auto"/>
        <w:right w:val="none" w:sz="0" w:space="0" w:color="auto"/>
      </w:divBdr>
    </w:div>
    <w:div w:id="429785416">
      <w:bodyDiv w:val="1"/>
      <w:marLeft w:val="0"/>
      <w:marRight w:val="0"/>
      <w:marTop w:val="0"/>
      <w:marBottom w:val="0"/>
      <w:divBdr>
        <w:top w:val="none" w:sz="0" w:space="0" w:color="auto"/>
        <w:left w:val="none" w:sz="0" w:space="0" w:color="auto"/>
        <w:bottom w:val="none" w:sz="0" w:space="0" w:color="auto"/>
        <w:right w:val="none" w:sz="0" w:space="0" w:color="auto"/>
      </w:divBdr>
      <w:divsChild>
        <w:div w:id="1074741366">
          <w:marLeft w:val="0"/>
          <w:marRight w:val="0"/>
          <w:marTop w:val="0"/>
          <w:marBottom w:val="0"/>
          <w:divBdr>
            <w:top w:val="none" w:sz="0" w:space="0" w:color="auto"/>
            <w:left w:val="none" w:sz="0" w:space="0" w:color="auto"/>
            <w:bottom w:val="none" w:sz="0" w:space="0" w:color="auto"/>
            <w:right w:val="none" w:sz="0" w:space="0" w:color="auto"/>
          </w:divBdr>
        </w:div>
      </w:divsChild>
    </w:div>
    <w:div w:id="478881842">
      <w:bodyDiv w:val="1"/>
      <w:marLeft w:val="0"/>
      <w:marRight w:val="0"/>
      <w:marTop w:val="0"/>
      <w:marBottom w:val="0"/>
      <w:divBdr>
        <w:top w:val="none" w:sz="0" w:space="0" w:color="auto"/>
        <w:left w:val="none" w:sz="0" w:space="0" w:color="auto"/>
        <w:bottom w:val="none" w:sz="0" w:space="0" w:color="auto"/>
        <w:right w:val="none" w:sz="0" w:space="0" w:color="auto"/>
      </w:divBdr>
    </w:div>
    <w:div w:id="504323086">
      <w:bodyDiv w:val="1"/>
      <w:marLeft w:val="0"/>
      <w:marRight w:val="0"/>
      <w:marTop w:val="0"/>
      <w:marBottom w:val="0"/>
      <w:divBdr>
        <w:top w:val="none" w:sz="0" w:space="0" w:color="auto"/>
        <w:left w:val="none" w:sz="0" w:space="0" w:color="auto"/>
        <w:bottom w:val="none" w:sz="0" w:space="0" w:color="auto"/>
        <w:right w:val="none" w:sz="0" w:space="0" w:color="auto"/>
      </w:divBdr>
    </w:div>
    <w:div w:id="522211766">
      <w:bodyDiv w:val="1"/>
      <w:marLeft w:val="0"/>
      <w:marRight w:val="0"/>
      <w:marTop w:val="0"/>
      <w:marBottom w:val="0"/>
      <w:divBdr>
        <w:top w:val="none" w:sz="0" w:space="0" w:color="auto"/>
        <w:left w:val="none" w:sz="0" w:space="0" w:color="auto"/>
        <w:bottom w:val="none" w:sz="0" w:space="0" w:color="auto"/>
        <w:right w:val="none" w:sz="0" w:space="0" w:color="auto"/>
      </w:divBdr>
      <w:divsChild>
        <w:div w:id="1452476447">
          <w:marLeft w:val="0"/>
          <w:marRight w:val="0"/>
          <w:marTop w:val="0"/>
          <w:marBottom w:val="0"/>
          <w:divBdr>
            <w:top w:val="none" w:sz="0" w:space="0" w:color="auto"/>
            <w:left w:val="none" w:sz="0" w:space="0" w:color="auto"/>
            <w:bottom w:val="none" w:sz="0" w:space="0" w:color="auto"/>
            <w:right w:val="none" w:sz="0" w:space="0" w:color="auto"/>
          </w:divBdr>
          <w:divsChild>
            <w:div w:id="15196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9735">
      <w:bodyDiv w:val="1"/>
      <w:marLeft w:val="0"/>
      <w:marRight w:val="0"/>
      <w:marTop w:val="0"/>
      <w:marBottom w:val="0"/>
      <w:divBdr>
        <w:top w:val="none" w:sz="0" w:space="0" w:color="auto"/>
        <w:left w:val="none" w:sz="0" w:space="0" w:color="auto"/>
        <w:bottom w:val="none" w:sz="0" w:space="0" w:color="auto"/>
        <w:right w:val="none" w:sz="0" w:space="0" w:color="auto"/>
      </w:divBdr>
    </w:div>
    <w:div w:id="621762682">
      <w:bodyDiv w:val="1"/>
      <w:marLeft w:val="0"/>
      <w:marRight w:val="0"/>
      <w:marTop w:val="0"/>
      <w:marBottom w:val="0"/>
      <w:divBdr>
        <w:top w:val="none" w:sz="0" w:space="0" w:color="auto"/>
        <w:left w:val="none" w:sz="0" w:space="0" w:color="auto"/>
        <w:bottom w:val="none" w:sz="0" w:space="0" w:color="auto"/>
        <w:right w:val="none" w:sz="0" w:space="0" w:color="auto"/>
      </w:divBdr>
    </w:div>
    <w:div w:id="644548434">
      <w:bodyDiv w:val="1"/>
      <w:marLeft w:val="0"/>
      <w:marRight w:val="0"/>
      <w:marTop w:val="0"/>
      <w:marBottom w:val="0"/>
      <w:divBdr>
        <w:top w:val="none" w:sz="0" w:space="0" w:color="auto"/>
        <w:left w:val="none" w:sz="0" w:space="0" w:color="auto"/>
        <w:bottom w:val="none" w:sz="0" w:space="0" w:color="auto"/>
        <w:right w:val="none" w:sz="0" w:space="0" w:color="auto"/>
      </w:divBdr>
    </w:div>
    <w:div w:id="667251828">
      <w:bodyDiv w:val="1"/>
      <w:marLeft w:val="0"/>
      <w:marRight w:val="0"/>
      <w:marTop w:val="0"/>
      <w:marBottom w:val="0"/>
      <w:divBdr>
        <w:top w:val="none" w:sz="0" w:space="0" w:color="auto"/>
        <w:left w:val="none" w:sz="0" w:space="0" w:color="auto"/>
        <w:bottom w:val="none" w:sz="0" w:space="0" w:color="auto"/>
        <w:right w:val="none" w:sz="0" w:space="0" w:color="auto"/>
      </w:divBdr>
    </w:div>
    <w:div w:id="677927211">
      <w:bodyDiv w:val="1"/>
      <w:marLeft w:val="0"/>
      <w:marRight w:val="0"/>
      <w:marTop w:val="0"/>
      <w:marBottom w:val="0"/>
      <w:divBdr>
        <w:top w:val="none" w:sz="0" w:space="0" w:color="auto"/>
        <w:left w:val="none" w:sz="0" w:space="0" w:color="auto"/>
        <w:bottom w:val="none" w:sz="0" w:space="0" w:color="auto"/>
        <w:right w:val="none" w:sz="0" w:space="0" w:color="auto"/>
      </w:divBdr>
    </w:div>
    <w:div w:id="679041021">
      <w:bodyDiv w:val="1"/>
      <w:marLeft w:val="0"/>
      <w:marRight w:val="0"/>
      <w:marTop w:val="0"/>
      <w:marBottom w:val="0"/>
      <w:divBdr>
        <w:top w:val="none" w:sz="0" w:space="0" w:color="auto"/>
        <w:left w:val="none" w:sz="0" w:space="0" w:color="auto"/>
        <w:bottom w:val="none" w:sz="0" w:space="0" w:color="auto"/>
        <w:right w:val="none" w:sz="0" w:space="0" w:color="auto"/>
      </w:divBdr>
    </w:div>
    <w:div w:id="766385253">
      <w:bodyDiv w:val="1"/>
      <w:marLeft w:val="0"/>
      <w:marRight w:val="0"/>
      <w:marTop w:val="0"/>
      <w:marBottom w:val="0"/>
      <w:divBdr>
        <w:top w:val="none" w:sz="0" w:space="0" w:color="auto"/>
        <w:left w:val="none" w:sz="0" w:space="0" w:color="auto"/>
        <w:bottom w:val="none" w:sz="0" w:space="0" w:color="auto"/>
        <w:right w:val="none" w:sz="0" w:space="0" w:color="auto"/>
      </w:divBdr>
    </w:div>
    <w:div w:id="809322886">
      <w:bodyDiv w:val="1"/>
      <w:marLeft w:val="0"/>
      <w:marRight w:val="0"/>
      <w:marTop w:val="0"/>
      <w:marBottom w:val="0"/>
      <w:divBdr>
        <w:top w:val="none" w:sz="0" w:space="0" w:color="auto"/>
        <w:left w:val="none" w:sz="0" w:space="0" w:color="auto"/>
        <w:bottom w:val="none" w:sz="0" w:space="0" w:color="auto"/>
        <w:right w:val="none" w:sz="0" w:space="0" w:color="auto"/>
      </w:divBdr>
    </w:div>
    <w:div w:id="816073380">
      <w:bodyDiv w:val="1"/>
      <w:marLeft w:val="0"/>
      <w:marRight w:val="0"/>
      <w:marTop w:val="0"/>
      <w:marBottom w:val="0"/>
      <w:divBdr>
        <w:top w:val="none" w:sz="0" w:space="0" w:color="auto"/>
        <w:left w:val="none" w:sz="0" w:space="0" w:color="auto"/>
        <w:bottom w:val="none" w:sz="0" w:space="0" w:color="auto"/>
        <w:right w:val="none" w:sz="0" w:space="0" w:color="auto"/>
      </w:divBdr>
    </w:div>
    <w:div w:id="851262372">
      <w:bodyDiv w:val="1"/>
      <w:marLeft w:val="0"/>
      <w:marRight w:val="0"/>
      <w:marTop w:val="0"/>
      <w:marBottom w:val="0"/>
      <w:divBdr>
        <w:top w:val="none" w:sz="0" w:space="0" w:color="auto"/>
        <w:left w:val="none" w:sz="0" w:space="0" w:color="auto"/>
        <w:bottom w:val="none" w:sz="0" w:space="0" w:color="auto"/>
        <w:right w:val="none" w:sz="0" w:space="0" w:color="auto"/>
      </w:divBdr>
    </w:div>
    <w:div w:id="992489171">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18325487">
      <w:bodyDiv w:val="1"/>
      <w:marLeft w:val="0"/>
      <w:marRight w:val="0"/>
      <w:marTop w:val="0"/>
      <w:marBottom w:val="0"/>
      <w:divBdr>
        <w:top w:val="none" w:sz="0" w:space="0" w:color="auto"/>
        <w:left w:val="none" w:sz="0" w:space="0" w:color="auto"/>
        <w:bottom w:val="none" w:sz="0" w:space="0" w:color="auto"/>
        <w:right w:val="none" w:sz="0" w:space="0" w:color="auto"/>
      </w:divBdr>
      <w:divsChild>
        <w:div w:id="2127045934">
          <w:marLeft w:val="0"/>
          <w:marRight w:val="0"/>
          <w:marTop w:val="0"/>
          <w:marBottom w:val="0"/>
          <w:divBdr>
            <w:top w:val="none" w:sz="0" w:space="0" w:color="auto"/>
            <w:left w:val="none" w:sz="0" w:space="0" w:color="auto"/>
            <w:bottom w:val="none" w:sz="0" w:space="0" w:color="auto"/>
            <w:right w:val="none" w:sz="0" w:space="0" w:color="auto"/>
          </w:divBdr>
          <w:divsChild>
            <w:div w:id="817695935">
              <w:marLeft w:val="0"/>
              <w:marRight w:val="0"/>
              <w:marTop w:val="0"/>
              <w:marBottom w:val="0"/>
              <w:divBdr>
                <w:top w:val="none" w:sz="0" w:space="0" w:color="auto"/>
                <w:left w:val="none" w:sz="0" w:space="0" w:color="auto"/>
                <w:bottom w:val="none" w:sz="0" w:space="0" w:color="auto"/>
                <w:right w:val="none" w:sz="0" w:space="0" w:color="auto"/>
              </w:divBdr>
              <w:divsChild>
                <w:div w:id="537089778">
                  <w:marLeft w:val="0"/>
                  <w:marRight w:val="0"/>
                  <w:marTop w:val="0"/>
                  <w:marBottom w:val="0"/>
                  <w:divBdr>
                    <w:top w:val="none" w:sz="0" w:space="0" w:color="auto"/>
                    <w:left w:val="none" w:sz="0" w:space="0" w:color="auto"/>
                    <w:bottom w:val="none" w:sz="0" w:space="0" w:color="auto"/>
                    <w:right w:val="none" w:sz="0" w:space="0" w:color="auto"/>
                  </w:divBdr>
                  <w:divsChild>
                    <w:div w:id="6385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7548">
          <w:marLeft w:val="0"/>
          <w:marRight w:val="0"/>
          <w:marTop w:val="0"/>
          <w:marBottom w:val="0"/>
          <w:divBdr>
            <w:top w:val="none" w:sz="0" w:space="0" w:color="auto"/>
            <w:left w:val="none" w:sz="0" w:space="0" w:color="auto"/>
            <w:bottom w:val="none" w:sz="0" w:space="0" w:color="auto"/>
            <w:right w:val="none" w:sz="0" w:space="0" w:color="auto"/>
          </w:divBdr>
          <w:divsChild>
            <w:div w:id="1046872494">
              <w:marLeft w:val="0"/>
              <w:marRight w:val="0"/>
              <w:marTop w:val="0"/>
              <w:marBottom w:val="0"/>
              <w:divBdr>
                <w:top w:val="none" w:sz="0" w:space="0" w:color="auto"/>
                <w:left w:val="none" w:sz="0" w:space="0" w:color="auto"/>
                <w:bottom w:val="none" w:sz="0" w:space="0" w:color="auto"/>
                <w:right w:val="none" w:sz="0" w:space="0" w:color="auto"/>
              </w:divBdr>
              <w:divsChild>
                <w:div w:id="462815994">
                  <w:marLeft w:val="0"/>
                  <w:marRight w:val="0"/>
                  <w:marTop w:val="0"/>
                  <w:marBottom w:val="0"/>
                  <w:divBdr>
                    <w:top w:val="none" w:sz="0" w:space="0" w:color="auto"/>
                    <w:left w:val="none" w:sz="0" w:space="0" w:color="auto"/>
                    <w:bottom w:val="none" w:sz="0" w:space="0" w:color="auto"/>
                    <w:right w:val="none" w:sz="0" w:space="0" w:color="auto"/>
                  </w:divBdr>
                  <w:divsChild>
                    <w:div w:id="15506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67450">
      <w:bodyDiv w:val="1"/>
      <w:marLeft w:val="0"/>
      <w:marRight w:val="0"/>
      <w:marTop w:val="0"/>
      <w:marBottom w:val="0"/>
      <w:divBdr>
        <w:top w:val="none" w:sz="0" w:space="0" w:color="auto"/>
        <w:left w:val="none" w:sz="0" w:space="0" w:color="auto"/>
        <w:bottom w:val="none" w:sz="0" w:space="0" w:color="auto"/>
        <w:right w:val="none" w:sz="0" w:space="0" w:color="auto"/>
      </w:divBdr>
    </w:div>
    <w:div w:id="1268273227">
      <w:bodyDiv w:val="1"/>
      <w:marLeft w:val="0"/>
      <w:marRight w:val="0"/>
      <w:marTop w:val="0"/>
      <w:marBottom w:val="0"/>
      <w:divBdr>
        <w:top w:val="none" w:sz="0" w:space="0" w:color="auto"/>
        <w:left w:val="none" w:sz="0" w:space="0" w:color="auto"/>
        <w:bottom w:val="none" w:sz="0" w:space="0" w:color="auto"/>
        <w:right w:val="none" w:sz="0" w:space="0" w:color="auto"/>
      </w:divBdr>
      <w:divsChild>
        <w:div w:id="141847218">
          <w:marLeft w:val="0"/>
          <w:marRight w:val="0"/>
          <w:marTop w:val="0"/>
          <w:marBottom w:val="0"/>
          <w:divBdr>
            <w:top w:val="none" w:sz="0" w:space="0" w:color="auto"/>
            <w:left w:val="none" w:sz="0" w:space="0" w:color="auto"/>
            <w:bottom w:val="none" w:sz="0" w:space="0" w:color="auto"/>
            <w:right w:val="none" w:sz="0" w:space="0" w:color="auto"/>
          </w:divBdr>
          <w:divsChild>
            <w:div w:id="1092773530">
              <w:marLeft w:val="0"/>
              <w:marRight w:val="0"/>
              <w:marTop w:val="0"/>
              <w:marBottom w:val="0"/>
              <w:divBdr>
                <w:top w:val="none" w:sz="0" w:space="0" w:color="auto"/>
                <w:left w:val="none" w:sz="0" w:space="0" w:color="auto"/>
                <w:bottom w:val="none" w:sz="0" w:space="0" w:color="auto"/>
                <w:right w:val="none" w:sz="0" w:space="0" w:color="auto"/>
              </w:divBdr>
            </w:div>
            <w:div w:id="1226914635">
              <w:marLeft w:val="0"/>
              <w:marRight w:val="0"/>
              <w:marTop w:val="0"/>
              <w:marBottom w:val="0"/>
              <w:divBdr>
                <w:top w:val="none" w:sz="0" w:space="0" w:color="auto"/>
                <w:left w:val="none" w:sz="0" w:space="0" w:color="auto"/>
                <w:bottom w:val="none" w:sz="0" w:space="0" w:color="auto"/>
                <w:right w:val="none" w:sz="0" w:space="0" w:color="auto"/>
              </w:divBdr>
            </w:div>
            <w:div w:id="1077290318">
              <w:marLeft w:val="0"/>
              <w:marRight w:val="0"/>
              <w:marTop w:val="0"/>
              <w:marBottom w:val="0"/>
              <w:divBdr>
                <w:top w:val="none" w:sz="0" w:space="0" w:color="auto"/>
                <w:left w:val="none" w:sz="0" w:space="0" w:color="auto"/>
                <w:bottom w:val="none" w:sz="0" w:space="0" w:color="auto"/>
                <w:right w:val="none" w:sz="0" w:space="0" w:color="auto"/>
              </w:divBdr>
            </w:div>
            <w:div w:id="1038968939">
              <w:marLeft w:val="0"/>
              <w:marRight w:val="0"/>
              <w:marTop w:val="0"/>
              <w:marBottom w:val="0"/>
              <w:divBdr>
                <w:top w:val="none" w:sz="0" w:space="0" w:color="auto"/>
                <w:left w:val="none" w:sz="0" w:space="0" w:color="auto"/>
                <w:bottom w:val="none" w:sz="0" w:space="0" w:color="auto"/>
                <w:right w:val="none" w:sz="0" w:space="0" w:color="auto"/>
              </w:divBdr>
            </w:div>
            <w:div w:id="614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9580">
      <w:bodyDiv w:val="1"/>
      <w:marLeft w:val="0"/>
      <w:marRight w:val="0"/>
      <w:marTop w:val="0"/>
      <w:marBottom w:val="0"/>
      <w:divBdr>
        <w:top w:val="none" w:sz="0" w:space="0" w:color="auto"/>
        <w:left w:val="none" w:sz="0" w:space="0" w:color="auto"/>
        <w:bottom w:val="none" w:sz="0" w:space="0" w:color="auto"/>
        <w:right w:val="none" w:sz="0" w:space="0" w:color="auto"/>
      </w:divBdr>
    </w:div>
    <w:div w:id="1401900856">
      <w:bodyDiv w:val="1"/>
      <w:marLeft w:val="0"/>
      <w:marRight w:val="0"/>
      <w:marTop w:val="0"/>
      <w:marBottom w:val="0"/>
      <w:divBdr>
        <w:top w:val="none" w:sz="0" w:space="0" w:color="auto"/>
        <w:left w:val="none" w:sz="0" w:space="0" w:color="auto"/>
        <w:bottom w:val="none" w:sz="0" w:space="0" w:color="auto"/>
        <w:right w:val="none" w:sz="0" w:space="0" w:color="auto"/>
      </w:divBdr>
    </w:div>
    <w:div w:id="1416901854">
      <w:bodyDiv w:val="1"/>
      <w:marLeft w:val="0"/>
      <w:marRight w:val="0"/>
      <w:marTop w:val="0"/>
      <w:marBottom w:val="0"/>
      <w:divBdr>
        <w:top w:val="none" w:sz="0" w:space="0" w:color="auto"/>
        <w:left w:val="none" w:sz="0" w:space="0" w:color="auto"/>
        <w:bottom w:val="none" w:sz="0" w:space="0" w:color="auto"/>
        <w:right w:val="none" w:sz="0" w:space="0" w:color="auto"/>
      </w:divBdr>
    </w:div>
    <w:div w:id="1431392766">
      <w:bodyDiv w:val="1"/>
      <w:marLeft w:val="0"/>
      <w:marRight w:val="0"/>
      <w:marTop w:val="0"/>
      <w:marBottom w:val="0"/>
      <w:divBdr>
        <w:top w:val="none" w:sz="0" w:space="0" w:color="auto"/>
        <w:left w:val="none" w:sz="0" w:space="0" w:color="auto"/>
        <w:bottom w:val="none" w:sz="0" w:space="0" w:color="auto"/>
        <w:right w:val="none" w:sz="0" w:space="0" w:color="auto"/>
      </w:divBdr>
    </w:div>
    <w:div w:id="1432432835">
      <w:bodyDiv w:val="1"/>
      <w:marLeft w:val="0"/>
      <w:marRight w:val="0"/>
      <w:marTop w:val="0"/>
      <w:marBottom w:val="0"/>
      <w:divBdr>
        <w:top w:val="none" w:sz="0" w:space="0" w:color="auto"/>
        <w:left w:val="none" w:sz="0" w:space="0" w:color="auto"/>
        <w:bottom w:val="none" w:sz="0" w:space="0" w:color="auto"/>
        <w:right w:val="none" w:sz="0" w:space="0" w:color="auto"/>
      </w:divBdr>
      <w:divsChild>
        <w:div w:id="367948323">
          <w:marLeft w:val="0"/>
          <w:marRight w:val="0"/>
          <w:marTop w:val="0"/>
          <w:marBottom w:val="0"/>
          <w:divBdr>
            <w:top w:val="none" w:sz="0" w:space="0" w:color="auto"/>
            <w:left w:val="none" w:sz="0" w:space="0" w:color="auto"/>
            <w:bottom w:val="none" w:sz="0" w:space="0" w:color="auto"/>
            <w:right w:val="none" w:sz="0" w:space="0" w:color="auto"/>
          </w:divBdr>
          <w:divsChild>
            <w:div w:id="1135176672">
              <w:marLeft w:val="0"/>
              <w:marRight w:val="0"/>
              <w:marTop w:val="0"/>
              <w:marBottom w:val="0"/>
              <w:divBdr>
                <w:top w:val="none" w:sz="0" w:space="0" w:color="auto"/>
                <w:left w:val="none" w:sz="0" w:space="0" w:color="auto"/>
                <w:bottom w:val="none" w:sz="0" w:space="0" w:color="auto"/>
                <w:right w:val="none" w:sz="0" w:space="0" w:color="auto"/>
              </w:divBdr>
            </w:div>
            <w:div w:id="211508039">
              <w:marLeft w:val="0"/>
              <w:marRight w:val="0"/>
              <w:marTop w:val="0"/>
              <w:marBottom w:val="0"/>
              <w:divBdr>
                <w:top w:val="none" w:sz="0" w:space="0" w:color="auto"/>
                <w:left w:val="none" w:sz="0" w:space="0" w:color="auto"/>
                <w:bottom w:val="none" w:sz="0" w:space="0" w:color="auto"/>
                <w:right w:val="none" w:sz="0" w:space="0" w:color="auto"/>
              </w:divBdr>
            </w:div>
            <w:div w:id="1612668677">
              <w:marLeft w:val="0"/>
              <w:marRight w:val="0"/>
              <w:marTop w:val="0"/>
              <w:marBottom w:val="0"/>
              <w:divBdr>
                <w:top w:val="none" w:sz="0" w:space="0" w:color="auto"/>
                <w:left w:val="none" w:sz="0" w:space="0" w:color="auto"/>
                <w:bottom w:val="none" w:sz="0" w:space="0" w:color="auto"/>
                <w:right w:val="none" w:sz="0" w:space="0" w:color="auto"/>
              </w:divBdr>
            </w:div>
            <w:div w:id="1564832807">
              <w:marLeft w:val="0"/>
              <w:marRight w:val="0"/>
              <w:marTop w:val="0"/>
              <w:marBottom w:val="0"/>
              <w:divBdr>
                <w:top w:val="none" w:sz="0" w:space="0" w:color="auto"/>
                <w:left w:val="none" w:sz="0" w:space="0" w:color="auto"/>
                <w:bottom w:val="none" w:sz="0" w:space="0" w:color="auto"/>
                <w:right w:val="none" w:sz="0" w:space="0" w:color="auto"/>
              </w:divBdr>
            </w:div>
            <w:div w:id="388959953">
              <w:marLeft w:val="0"/>
              <w:marRight w:val="0"/>
              <w:marTop w:val="0"/>
              <w:marBottom w:val="0"/>
              <w:divBdr>
                <w:top w:val="none" w:sz="0" w:space="0" w:color="auto"/>
                <w:left w:val="none" w:sz="0" w:space="0" w:color="auto"/>
                <w:bottom w:val="none" w:sz="0" w:space="0" w:color="auto"/>
                <w:right w:val="none" w:sz="0" w:space="0" w:color="auto"/>
              </w:divBdr>
            </w:div>
            <w:div w:id="1654523671">
              <w:marLeft w:val="0"/>
              <w:marRight w:val="0"/>
              <w:marTop w:val="0"/>
              <w:marBottom w:val="0"/>
              <w:divBdr>
                <w:top w:val="none" w:sz="0" w:space="0" w:color="auto"/>
                <w:left w:val="none" w:sz="0" w:space="0" w:color="auto"/>
                <w:bottom w:val="none" w:sz="0" w:space="0" w:color="auto"/>
                <w:right w:val="none" w:sz="0" w:space="0" w:color="auto"/>
              </w:divBdr>
            </w:div>
            <w:div w:id="2064327616">
              <w:marLeft w:val="0"/>
              <w:marRight w:val="0"/>
              <w:marTop w:val="0"/>
              <w:marBottom w:val="0"/>
              <w:divBdr>
                <w:top w:val="none" w:sz="0" w:space="0" w:color="auto"/>
                <w:left w:val="none" w:sz="0" w:space="0" w:color="auto"/>
                <w:bottom w:val="none" w:sz="0" w:space="0" w:color="auto"/>
                <w:right w:val="none" w:sz="0" w:space="0" w:color="auto"/>
              </w:divBdr>
            </w:div>
            <w:div w:id="572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8847">
      <w:bodyDiv w:val="1"/>
      <w:marLeft w:val="0"/>
      <w:marRight w:val="0"/>
      <w:marTop w:val="0"/>
      <w:marBottom w:val="0"/>
      <w:divBdr>
        <w:top w:val="none" w:sz="0" w:space="0" w:color="auto"/>
        <w:left w:val="none" w:sz="0" w:space="0" w:color="auto"/>
        <w:bottom w:val="none" w:sz="0" w:space="0" w:color="auto"/>
        <w:right w:val="none" w:sz="0" w:space="0" w:color="auto"/>
      </w:divBdr>
    </w:div>
    <w:div w:id="1478108778">
      <w:bodyDiv w:val="1"/>
      <w:marLeft w:val="0"/>
      <w:marRight w:val="0"/>
      <w:marTop w:val="0"/>
      <w:marBottom w:val="0"/>
      <w:divBdr>
        <w:top w:val="none" w:sz="0" w:space="0" w:color="auto"/>
        <w:left w:val="none" w:sz="0" w:space="0" w:color="auto"/>
        <w:bottom w:val="none" w:sz="0" w:space="0" w:color="auto"/>
        <w:right w:val="none" w:sz="0" w:space="0" w:color="auto"/>
      </w:divBdr>
    </w:div>
    <w:div w:id="1554274291">
      <w:bodyDiv w:val="1"/>
      <w:marLeft w:val="0"/>
      <w:marRight w:val="0"/>
      <w:marTop w:val="0"/>
      <w:marBottom w:val="0"/>
      <w:divBdr>
        <w:top w:val="none" w:sz="0" w:space="0" w:color="auto"/>
        <w:left w:val="none" w:sz="0" w:space="0" w:color="auto"/>
        <w:bottom w:val="none" w:sz="0" w:space="0" w:color="auto"/>
        <w:right w:val="none" w:sz="0" w:space="0" w:color="auto"/>
      </w:divBdr>
      <w:divsChild>
        <w:div w:id="1675691712">
          <w:marLeft w:val="0"/>
          <w:marRight w:val="0"/>
          <w:marTop w:val="0"/>
          <w:marBottom w:val="0"/>
          <w:divBdr>
            <w:top w:val="none" w:sz="0" w:space="0" w:color="auto"/>
            <w:left w:val="none" w:sz="0" w:space="0" w:color="auto"/>
            <w:bottom w:val="none" w:sz="0" w:space="0" w:color="auto"/>
            <w:right w:val="none" w:sz="0" w:space="0" w:color="auto"/>
          </w:divBdr>
        </w:div>
        <w:div w:id="196431042">
          <w:marLeft w:val="0"/>
          <w:marRight w:val="0"/>
          <w:marTop w:val="0"/>
          <w:marBottom w:val="0"/>
          <w:divBdr>
            <w:top w:val="none" w:sz="0" w:space="0" w:color="auto"/>
            <w:left w:val="none" w:sz="0" w:space="0" w:color="auto"/>
            <w:bottom w:val="none" w:sz="0" w:space="0" w:color="auto"/>
            <w:right w:val="none" w:sz="0" w:space="0" w:color="auto"/>
          </w:divBdr>
        </w:div>
      </w:divsChild>
    </w:div>
    <w:div w:id="1556695918">
      <w:bodyDiv w:val="1"/>
      <w:marLeft w:val="0"/>
      <w:marRight w:val="0"/>
      <w:marTop w:val="0"/>
      <w:marBottom w:val="0"/>
      <w:divBdr>
        <w:top w:val="none" w:sz="0" w:space="0" w:color="auto"/>
        <w:left w:val="none" w:sz="0" w:space="0" w:color="auto"/>
        <w:bottom w:val="none" w:sz="0" w:space="0" w:color="auto"/>
        <w:right w:val="none" w:sz="0" w:space="0" w:color="auto"/>
      </w:divBdr>
    </w:div>
    <w:div w:id="1588493700">
      <w:bodyDiv w:val="1"/>
      <w:marLeft w:val="0"/>
      <w:marRight w:val="0"/>
      <w:marTop w:val="0"/>
      <w:marBottom w:val="0"/>
      <w:divBdr>
        <w:top w:val="none" w:sz="0" w:space="0" w:color="auto"/>
        <w:left w:val="none" w:sz="0" w:space="0" w:color="auto"/>
        <w:bottom w:val="none" w:sz="0" w:space="0" w:color="auto"/>
        <w:right w:val="none" w:sz="0" w:space="0" w:color="auto"/>
      </w:divBdr>
    </w:div>
    <w:div w:id="1765228159">
      <w:bodyDiv w:val="1"/>
      <w:marLeft w:val="0"/>
      <w:marRight w:val="0"/>
      <w:marTop w:val="0"/>
      <w:marBottom w:val="0"/>
      <w:divBdr>
        <w:top w:val="none" w:sz="0" w:space="0" w:color="auto"/>
        <w:left w:val="none" w:sz="0" w:space="0" w:color="auto"/>
        <w:bottom w:val="none" w:sz="0" w:space="0" w:color="auto"/>
        <w:right w:val="none" w:sz="0" w:space="0" w:color="auto"/>
      </w:divBdr>
    </w:div>
    <w:div w:id="1887521243">
      <w:bodyDiv w:val="1"/>
      <w:marLeft w:val="0"/>
      <w:marRight w:val="0"/>
      <w:marTop w:val="0"/>
      <w:marBottom w:val="0"/>
      <w:divBdr>
        <w:top w:val="none" w:sz="0" w:space="0" w:color="auto"/>
        <w:left w:val="none" w:sz="0" w:space="0" w:color="auto"/>
        <w:bottom w:val="none" w:sz="0" w:space="0" w:color="auto"/>
        <w:right w:val="none" w:sz="0" w:space="0" w:color="auto"/>
      </w:divBdr>
      <w:divsChild>
        <w:div w:id="1884363097">
          <w:marLeft w:val="0"/>
          <w:marRight w:val="0"/>
          <w:marTop w:val="0"/>
          <w:marBottom w:val="0"/>
          <w:divBdr>
            <w:top w:val="none" w:sz="0" w:space="0" w:color="auto"/>
            <w:left w:val="none" w:sz="0" w:space="0" w:color="auto"/>
            <w:bottom w:val="none" w:sz="0" w:space="0" w:color="auto"/>
            <w:right w:val="none" w:sz="0" w:space="0" w:color="auto"/>
          </w:divBdr>
        </w:div>
      </w:divsChild>
    </w:div>
    <w:div w:id="1940525279">
      <w:bodyDiv w:val="1"/>
      <w:marLeft w:val="0"/>
      <w:marRight w:val="0"/>
      <w:marTop w:val="0"/>
      <w:marBottom w:val="0"/>
      <w:divBdr>
        <w:top w:val="none" w:sz="0" w:space="0" w:color="auto"/>
        <w:left w:val="none" w:sz="0" w:space="0" w:color="auto"/>
        <w:bottom w:val="none" w:sz="0" w:space="0" w:color="auto"/>
        <w:right w:val="none" w:sz="0" w:space="0" w:color="auto"/>
      </w:divBdr>
    </w:div>
    <w:div w:id="1956792358">
      <w:bodyDiv w:val="1"/>
      <w:marLeft w:val="0"/>
      <w:marRight w:val="0"/>
      <w:marTop w:val="0"/>
      <w:marBottom w:val="0"/>
      <w:divBdr>
        <w:top w:val="none" w:sz="0" w:space="0" w:color="auto"/>
        <w:left w:val="none" w:sz="0" w:space="0" w:color="auto"/>
        <w:bottom w:val="none" w:sz="0" w:space="0" w:color="auto"/>
        <w:right w:val="none" w:sz="0" w:space="0" w:color="auto"/>
      </w:divBdr>
    </w:div>
    <w:div w:id="1958562601">
      <w:bodyDiv w:val="1"/>
      <w:marLeft w:val="0"/>
      <w:marRight w:val="0"/>
      <w:marTop w:val="0"/>
      <w:marBottom w:val="0"/>
      <w:divBdr>
        <w:top w:val="none" w:sz="0" w:space="0" w:color="auto"/>
        <w:left w:val="none" w:sz="0" w:space="0" w:color="auto"/>
        <w:bottom w:val="none" w:sz="0" w:space="0" w:color="auto"/>
        <w:right w:val="none" w:sz="0" w:space="0" w:color="auto"/>
      </w:divBdr>
      <w:divsChild>
        <w:div w:id="332418597">
          <w:marLeft w:val="0"/>
          <w:marRight w:val="0"/>
          <w:marTop w:val="0"/>
          <w:marBottom w:val="0"/>
          <w:divBdr>
            <w:top w:val="none" w:sz="0" w:space="0" w:color="auto"/>
            <w:left w:val="none" w:sz="0" w:space="0" w:color="auto"/>
            <w:bottom w:val="none" w:sz="0" w:space="0" w:color="auto"/>
            <w:right w:val="none" w:sz="0" w:space="0" w:color="auto"/>
          </w:divBdr>
          <w:divsChild>
            <w:div w:id="1856847779">
              <w:marLeft w:val="0"/>
              <w:marRight w:val="0"/>
              <w:marTop w:val="0"/>
              <w:marBottom w:val="0"/>
              <w:divBdr>
                <w:top w:val="none" w:sz="0" w:space="0" w:color="auto"/>
                <w:left w:val="none" w:sz="0" w:space="0" w:color="auto"/>
                <w:bottom w:val="none" w:sz="0" w:space="0" w:color="auto"/>
                <w:right w:val="none" w:sz="0" w:space="0" w:color="auto"/>
              </w:divBdr>
            </w:div>
            <w:div w:id="1511217708">
              <w:marLeft w:val="0"/>
              <w:marRight w:val="0"/>
              <w:marTop w:val="0"/>
              <w:marBottom w:val="0"/>
              <w:divBdr>
                <w:top w:val="none" w:sz="0" w:space="0" w:color="auto"/>
                <w:left w:val="none" w:sz="0" w:space="0" w:color="auto"/>
                <w:bottom w:val="none" w:sz="0" w:space="0" w:color="auto"/>
                <w:right w:val="none" w:sz="0" w:space="0" w:color="auto"/>
              </w:divBdr>
            </w:div>
            <w:div w:id="2093309707">
              <w:marLeft w:val="0"/>
              <w:marRight w:val="0"/>
              <w:marTop w:val="0"/>
              <w:marBottom w:val="0"/>
              <w:divBdr>
                <w:top w:val="none" w:sz="0" w:space="0" w:color="auto"/>
                <w:left w:val="none" w:sz="0" w:space="0" w:color="auto"/>
                <w:bottom w:val="none" w:sz="0" w:space="0" w:color="auto"/>
                <w:right w:val="none" w:sz="0" w:space="0" w:color="auto"/>
              </w:divBdr>
            </w:div>
            <w:div w:id="1268153309">
              <w:marLeft w:val="0"/>
              <w:marRight w:val="0"/>
              <w:marTop w:val="0"/>
              <w:marBottom w:val="0"/>
              <w:divBdr>
                <w:top w:val="none" w:sz="0" w:space="0" w:color="auto"/>
                <w:left w:val="none" w:sz="0" w:space="0" w:color="auto"/>
                <w:bottom w:val="none" w:sz="0" w:space="0" w:color="auto"/>
                <w:right w:val="none" w:sz="0" w:space="0" w:color="auto"/>
              </w:divBdr>
            </w:div>
            <w:div w:id="2022508947">
              <w:marLeft w:val="0"/>
              <w:marRight w:val="0"/>
              <w:marTop w:val="0"/>
              <w:marBottom w:val="0"/>
              <w:divBdr>
                <w:top w:val="none" w:sz="0" w:space="0" w:color="auto"/>
                <w:left w:val="none" w:sz="0" w:space="0" w:color="auto"/>
                <w:bottom w:val="none" w:sz="0" w:space="0" w:color="auto"/>
                <w:right w:val="none" w:sz="0" w:space="0" w:color="auto"/>
              </w:divBdr>
            </w:div>
            <w:div w:id="1161966668">
              <w:marLeft w:val="0"/>
              <w:marRight w:val="0"/>
              <w:marTop w:val="0"/>
              <w:marBottom w:val="0"/>
              <w:divBdr>
                <w:top w:val="none" w:sz="0" w:space="0" w:color="auto"/>
                <w:left w:val="none" w:sz="0" w:space="0" w:color="auto"/>
                <w:bottom w:val="none" w:sz="0" w:space="0" w:color="auto"/>
                <w:right w:val="none" w:sz="0" w:space="0" w:color="auto"/>
              </w:divBdr>
            </w:div>
            <w:div w:id="1554849702">
              <w:marLeft w:val="0"/>
              <w:marRight w:val="0"/>
              <w:marTop w:val="0"/>
              <w:marBottom w:val="0"/>
              <w:divBdr>
                <w:top w:val="none" w:sz="0" w:space="0" w:color="auto"/>
                <w:left w:val="none" w:sz="0" w:space="0" w:color="auto"/>
                <w:bottom w:val="none" w:sz="0" w:space="0" w:color="auto"/>
                <w:right w:val="none" w:sz="0" w:space="0" w:color="auto"/>
              </w:divBdr>
            </w:div>
            <w:div w:id="1122921223">
              <w:marLeft w:val="0"/>
              <w:marRight w:val="0"/>
              <w:marTop w:val="0"/>
              <w:marBottom w:val="0"/>
              <w:divBdr>
                <w:top w:val="none" w:sz="0" w:space="0" w:color="auto"/>
                <w:left w:val="none" w:sz="0" w:space="0" w:color="auto"/>
                <w:bottom w:val="none" w:sz="0" w:space="0" w:color="auto"/>
                <w:right w:val="none" w:sz="0" w:space="0" w:color="auto"/>
              </w:divBdr>
            </w:div>
            <w:div w:id="441729229">
              <w:marLeft w:val="0"/>
              <w:marRight w:val="0"/>
              <w:marTop w:val="0"/>
              <w:marBottom w:val="0"/>
              <w:divBdr>
                <w:top w:val="none" w:sz="0" w:space="0" w:color="auto"/>
                <w:left w:val="none" w:sz="0" w:space="0" w:color="auto"/>
                <w:bottom w:val="none" w:sz="0" w:space="0" w:color="auto"/>
                <w:right w:val="none" w:sz="0" w:space="0" w:color="auto"/>
              </w:divBdr>
            </w:div>
            <w:div w:id="533157188">
              <w:marLeft w:val="0"/>
              <w:marRight w:val="0"/>
              <w:marTop w:val="0"/>
              <w:marBottom w:val="0"/>
              <w:divBdr>
                <w:top w:val="none" w:sz="0" w:space="0" w:color="auto"/>
                <w:left w:val="none" w:sz="0" w:space="0" w:color="auto"/>
                <w:bottom w:val="none" w:sz="0" w:space="0" w:color="auto"/>
                <w:right w:val="none" w:sz="0" w:space="0" w:color="auto"/>
              </w:divBdr>
            </w:div>
            <w:div w:id="994990850">
              <w:marLeft w:val="0"/>
              <w:marRight w:val="0"/>
              <w:marTop w:val="0"/>
              <w:marBottom w:val="0"/>
              <w:divBdr>
                <w:top w:val="none" w:sz="0" w:space="0" w:color="auto"/>
                <w:left w:val="none" w:sz="0" w:space="0" w:color="auto"/>
                <w:bottom w:val="none" w:sz="0" w:space="0" w:color="auto"/>
                <w:right w:val="none" w:sz="0" w:space="0" w:color="auto"/>
              </w:divBdr>
            </w:div>
            <w:div w:id="126900697">
              <w:marLeft w:val="0"/>
              <w:marRight w:val="0"/>
              <w:marTop w:val="0"/>
              <w:marBottom w:val="0"/>
              <w:divBdr>
                <w:top w:val="none" w:sz="0" w:space="0" w:color="auto"/>
                <w:left w:val="none" w:sz="0" w:space="0" w:color="auto"/>
                <w:bottom w:val="none" w:sz="0" w:space="0" w:color="auto"/>
                <w:right w:val="none" w:sz="0" w:space="0" w:color="auto"/>
              </w:divBdr>
            </w:div>
            <w:div w:id="1941258456">
              <w:marLeft w:val="0"/>
              <w:marRight w:val="0"/>
              <w:marTop w:val="0"/>
              <w:marBottom w:val="0"/>
              <w:divBdr>
                <w:top w:val="none" w:sz="0" w:space="0" w:color="auto"/>
                <w:left w:val="none" w:sz="0" w:space="0" w:color="auto"/>
                <w:bottom w:val="none" w:sz="0" w:space="0" w:color="auto"/>
                <w:right w:val="none" w:sz="0" w:space="0" w:color="auto"/>
              </w:divBdr>
            </w:div>
            <w:div w:id="1239288741">
              <w:marLeft w:val="0"/>
              <w:marRight w:val="0"/>
              <w:marTop w:val="0"/>
              <w:marBottom w:val="0"/>
              <w:divBdr>
                <w:top w:val="none" w:sz="0" w:space="0" w:color="auto"/>
                <w:left w:val="none" w:sz="0" w:space="0" w:color="auto"/>
                <w:bottom w:val="none" w:sz="0" w:space="0" w:color="auto"/>
                <w:right w:val="none" w:sz="0" w:space="0" w:color="auto"/>
              </w:divBdr>
            </w:div>
            <w:div w:id="971713871">
              <w:marLeft w:val="0"/>
              <w:marRight w:val="0"/>
              <w:marTop w:val="0"/>
              <w:marBottom w:val="0"/>
              <w:divBdr>
                <w:top w:val="none" w:sz="0" w:space="0" w:color="auto"/>
                <w:left w:val="none" w:sz="0" w:space="0" w:color="auto"/>
                <w:bottom w:val="none" w:sz="0" w:space="0" w:color="auto"/>
                <w:right w:val="none" w:sz="0" w:space="0" w:color="auto"/>
              </w:divBdr>
            </w:div>
            <w:div w:id="885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6303">
      <w:bodyDiv w:val="1"/>
      <w:marLeft w:val="0"/>
      <w:marRight w:val="0"/>
      <w:marTop w:val="0"/>
      <w:marBottom w:val="0"/>
      <w:divBdr>
        <w:top w:val="none" w:sz="0" w:space="0" w:color="auto"/>
        <w:left w:val="none" w:sz="0" w:space="0" w:color="auto"/>
        <w:bottom w:val="none" w:sz="0" w:space="0" w:color="auto"/>
        <w:right w:val="none" w:sz="0" w:space="0" w:color="auto"/>
      </w:divBdr>
    </w:div>
    <w:div w:id="1970164729">
      <w:bodyDiv w:val="1"/>
      <w:marLeft w:val="0"/>
      <w:marRight w:val="0"/>
      <w:marTop w:val="0"/>
      <w:marBottom w:val="0"/>
      <w:divBdr>
        <w:top w:val="none" w:sz="0" w:space="0" w:color="auto"/>
        <w:left w:val="none" w:sz="0" w:space="0" w:color="auto"/>
        <w:bottom w:val="none" w:sz="0" w:space="0" w:color="auto"/>
        <w:right w:val="none" w:sz="0" w:space="0" w:color="auto"/>
      </w:divBdr>
      <w:divsChild>
        <w:div w:id="4552129">
          <w:marLeft w:val="0"/>
          <w:marRight w:val="0"/>
          <w:marTop w:val="0"/>
          <w:marBottom w:val="0"/>
          <w:divBdr>
            <w:top w:val="none" w:sz="0" w:space="0" w:color="auto"/>
            <w:left w:val="none" w:sz="0" w:space="0" w:color="auto"/>
            <w:bottom w:val="none" w:sz="0" w:space="0" w:color="auto"/>
            <w:right w:val="none" w:sz="0" w:space="0" w:color="auto"/>
          </w:divBdr>
        </w:div>
        <w:div w:id="710307153">
          <w:marLeft w:val="0"/>
          <w:marRight w:val="0"/>
          <w:marTop w:val="0"/>
          <w:marBottom w:val="0"/>
          <w:divBdr>
            <w:top w:val="none" w:sz="0" w:space="0" w:color="auto"/>
            <w:left w:val="none" w:sz="0" w:space="0" w:color="auto"/>
            <w:bottom w:val="none" w:sz="0" w:space="0" w:color="auto"/>
            <w:right w:val="none" w:sz="0" w:space="0" w:color="auto"/>
          </w:divBdr>
        </w:div>
        <w:div w:id="1635790939">
          <w:marLeft w:val="0"/>
          <w:marRight w:val="0"/>
          <w:marTop w:val="0"/>
          <w:marBottom w:val="0"/>
          <w:divBdr>
            <w:top w:val="none" w:sz="0" w:space="0" w:color="auto"/>
            <w:left w:val="none" w:sz="0" w:space="0" w:color="auto"/>
            <w:bottom w:val="none" w:sz="0" w:space="0" w:color="auto"/>
            <w:right w:val="none" w:sz="0" w:space="0" w:color="auto"/>
          </w:divBdr>
        </w:div>
        <w:div w:id="904223172">
          <w:marLeft w:val="0"/>
          <w:marRight w:val="0"/>
          <w:marTop w:val="0"/>
          <w:marBottom w:val="0"/>
          <w:divBdr>
            <w:top w:val="none" w:sz="0" w:space="0" w:color="auto"/>
            <w:left w:val="none" w:sz="0" w:space="0" w:color="auto"/>
            <w:bottom w:val="none" w:sz="0" w:space="0" w:color="auto"/>
            <w:right w:val="none" w:sz="0" w:space="0" w:color="auto"/>
          </w:divBdr>
        </w:div>
        <w:div w:id="1217667450">
          <w:marLeft w:val="0"/>
          <w:marRight w:val="0"/>
          <w:marTop w:val="0"/>
          <w:marBottom w:val="0"/>
          <w:divBdr>
            <w:top w:val="none" w:sz="0" w:space="0" w:color="auto"/>
            <w:left w:val="none" w:sz="0" w:space="0" w:color="auto"/>
            <w:bottom w:val="none" w:sz="0" w:space="0" w:color="auto"/>
            <w:right w:val="none" w:sz="0" w:space="0" w:color="auto"/>
          </w:divBdr>
        </w:div>
        <w:div w:id="1632662936">
          <w:marLeft w:val="0"/>
          <w:marRight w:val="0"/>
          <w:marTop w:val="0"/>
          <w:marBottom w:val="0"/>
          <w:divBdr>
            <w:top w:val="none" w:sz="0" w:space="0" w:color="auto"/>
            <w:left w:val="none" w:sz="0" w:space="0" w:color="auto"/>
            <w:bottom w:val="none" w:sz="0" w:space="0" w:color="auto"/>
            <w:right w:val="none" w:sz="0" w:space="0" w:color="auto"/>
          </w:divBdr>
        </w:div>
        <w:div w:id="40325223">
          <w:marLeft w:val="0"/>
          <w:marRight w:val="0"/>
          <w:marTop w:val="0"/>
          <w:marBottom w:val="0"/>
          <w:divBdr>
            <w:top w:val="none" w:sz="0" w:space="0" w:color="auto"/>
            <w:left w:val="none" w:sz="0" w:space="0" w:color="auto"/>
            <w:bottom w:val="none" w:sz="0" w:space="0" w:color="auto"/>
            <w:right w:val="none" w:sz="0" w:space="0" w:color="auto"/>
          </w:divBdr>
        </w:div>
        <w:div w:id="616717745">
          <w:marLeft w:val="0"/>
          <w:marRight w:val="0"/>
          <w:marTop w:val="0"/>
          <w:marBottom w:val="0"/>
          <w:divBdr>
            <w:top w:val="none" w:sz="0" w:space="0" w:color="auto"/>
            <w:left w:val="none" w:sz="0" w:space="0" w:color="auto"/>
            <w:bottom w:val="none" w:sz="0" w:space="0" w:color="auto"/>
            <w:right w:val="none" w:sz="0" w:space="0" w:color="auto"/>
          </w:divBdr>
        </w:div>
      </w:divsChild>
    </w:div>
    <w:div w:id="2058973165">
      <w:bodyDiv w:val="1"/>
      <w:marLeft w:val="0"/>
      <w:marRight w:val="0"/>
      <w:marTop w:val="0"/>
      <w:marBottom w:val="0"/>
      <w:divBdr>
        <w:top w:val="none" w:sz="0" w:space="0" w:color="auto"/>
        <w:left w:val="none" w:sz="0" w:space="0" w:color="auto"/>
        <w:bottom w:val="none" w:sz="0" w:space="0" w:color="auto"/>
        <w:right w:val="none" w:sz="0" w:space="0" w:color="auto"/>
      </w:divBdr>
    </w:div>
    <w:div w:id="2067991527">
      <w:bodyDiv w:val="1"/>
      <w:marLeft w:val="0"/>
      <w:marRight w:val="0"/>
      <w:marTop w:val="0"/>
      <w:marBottom w:val="0"/>
      <w:divBdr>
        <w:top w:val="none" w:sz="0" w:space="0" w:color="auto"/>
        <w:left w:val="none" w:sz="0" w:space="0" w:color="auto"/>
        <w:bottom w:val="none" w:sz="0" w:space="0" w:color="auto"/>
        <w:right w:val="none" w:sz="0" w:space="0" w:color="auto"/>
      </w:divBdr>
    </w:div>
    <w:div w:id="2075738570">
      <w:bodyDiv w:val="1"/>
      <w:marLeft w:val="0"/>
      <w:marRight w:val="0"/>
      <w:marTop w:val="0"/>
      <w:marBottom w:val="0"/>
      <w:divBdr>
        <w:top w:val="none" w:sz="0" w:space="0" w:color="auto"/>
        <w:left w:val="none" w:sz="0" w:space="0" w:color="auto"/>
        <w:bottom w:val="none" w:sz="0" w:space="0" w:color="auto"/>
        <w:right w:val="none" w:sz="0" w:space="0" w:color="auto"/>
      </w:divBdr>
      <w:divsChild>
        <w:div w:id="1263493394">
          <w:marLeft w:val="0"/>
          <w:marRight w:val="0"/>
          <w:marTop w:val="0"/>
          <w:marBottom w:val="0"/>
          <w:divBdr>
            <w:top w:val="none" w:sz="0" w:space="0" w:color="auto"/>
            <w:left w:val="none" w:sz="0" w:space="0" w:color="auto"/>
            <w:bottom w:val="none" w:sz="0" w:space="0" w:color="auto"/>
            <w:right w:val="none" w:sz="0" w:space="0" w:color="auto"/>
          </w:divBdr>
        </w:div>
        <w:div w:id="202596997">
          <w:marLeft w:val="0"/>
          <w:marRight w:val="0"/>
          <w:marTop w:val="0"/>
          <w:marBottom w:val="0"/>
          <w:divBdr>
            <w:top w:val="none" w:sz="0" w:space="0" w:color="auto"/>
            <w:left w:val="none" w:sz="0" w:space="0" w:color="auto"/>
            <w:bottom w:val="none" w:sz="0" w:space="0" w:color="auto"/>
            <w:right w:val="none" w:sz="0" w:space="0" w:color="auto"/>
          </w:divBdr>
        </w:div>
        <w:div w:id="608976732">
          <w:marLeft w:val="0"/>
          <w:marRight w:val="0"/>
          <w:marTop w:val="0"/>
          <w:marBottom w:val="0"/>
          <w:divBdr>
            <w:top w:val="none" w:sz="0" w:space="0" w:color="auto"/>
            <w:left w:val="none" w:sz="0" w:space="0" w:color="auto"/>
            <w:bottom w:val="none" w:sz="0" w:space="0" w:color="auto"/>
            <w:right w:val="none" w:sz="0" w:space="0" w:color="auto"/>
          </w:divBdr>
        </w:div>
        <w:div w:id="999575092">
          <w:marLeft w:val="0"/>
          <w:marRight w:val="0"/>
          <w:marTop w:val="0"/>
          <w:marBottom w:val="0"/>
          <w:divBdr>
            <w:top w:val="none" w:sz="0" w:space="0" w:color="auto"/>
            <w:left w:val="none" w:sz="0" w:space="0" w:color="auto"/>
            <w:bottom w:val="none" w:sz="0" w:space="0" w:color="auto"/>
            <w:right w:val="none" w:sz="0" w:space="0" w:color="auto"/>
          </w:divBdr>
        </w:div>
        <w:div w:id="932514798">
          <w:marLeft w:val="0"/>
          <w:marRight w:val="0"/>
          <w:marTop w:val="0"/>
          <w:marBottom w:val="0"/>
          <w:divBdr>
            <w:top w:val="none" w:sz="0" w:space="0" w:color="auto"/>
            <w:left w:val="none" w:sz="0" w:space="0" w:color="auto"/>
            <w:bottom w:val="none" w:sz="0" w:space="0" w:color="auto"/>
            <w:right w:val="none" w:sz="0" w:space="0" w:color="auto"/>
          </w:divBdr>
        </w:div>
        <w:div w:id="943613552">
          <w:marLeft w:val="0"/>
          <w:marRight w:val="0"/>
          <w:marTop w:val="0"/>
          <w:marBottom w:val="0"/>
          <w:divBdr>
            <w:top w:val="none" w:sz="0" w:space="0" w:color="auto"/>
            <w:left w:val="none" w:sz="0" w:space="0" w:color="auto"/>
            <w:bottom w:val="none" w:sz="0" w:space="0" w:color="auto"/>
            <w:right w:val="none" w:sz="0" w:space="0" w:color="auto"/>
          </w:divBdr>
        </w:div>
        <w:div w:id="2069456173">
          <w:marLeft w:val="0"/>
          <w:marRight w:val="0"/>
          <w:marTop w:val="0"/>
          <w:marBottom w:val="0"/>
          <w:divBdr>
            <w:top w:val="none" w:sz="0" w:space="0" w:color="auto"/>
            <w:left w:val="none" w:sz="0" w:space="0" w:color="auto"/>
            <w:bottom w:val="none" w:sz="0" w:space="0" w:color="auto"/>
            <w:right w:val="none" w:sz="0" w:space="0" w:color="auto"/>
          </w:divBdr>
        </w:div>
        <w:div w:id="460416577">
          <w:marLeft w:val="0"/>
          <w:marRight w:val="0"/>
          <w:marTop w:val="0"/>
          <w:marBottom w:val="0"/>
          <w:divBdr>
            <w:top w:val="none" w:sz="0" w:space="0" w:color="auto"/>
            <w:left w:val="none" w:sz="0" w:space="0" w:color="auto"/>
            <w:bottom w:val="none" w:sz="0" w:space="0" w:color="auto"/>
            <w:right w:val="none" w:sz="0" w:space="0" w:color="auto"/>
          </w:divBdr>
        </w:div>
        <w:div w:id="1724673342">
          <w:marLeft w:val="0"/>
          <w:marRight w:val="0"/>
          <w:marTop w:val="0"/>
          <w:marBottom w:val="0"/>
          <w:divBdr>
            <w:top w:val="none" w:sz="0" w:space="0" w:color="auto"/>
            <w:left w:val="none" w:sz="0" w:space="0" w:color="auto"/>
            <w:bottom w:val="none" w:sz="0" w:space="0" w:color="auto"/>
            <w:right w:val="none" w:sz="0" w:space="0" w:color="auto"/>
          </w:divBdr>
        </w:div>
      </w:divsChild>
    </w:div>
    <w:div w:id="20889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ine.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cacabelos\Desktop\AECR\Pobreza_serie_08-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cacabelos\Desktop\AECR\Pobreza_serie_08-1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Nando\Dropbox\AECR_2014\Li&#241;as%20Pobreza\data\Pobreza_serie_08-1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fcacabelos\Desktop\AECR\Pobreza_serie_08-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estatal!$A$3</c:f>
              <c:strCache>
                <c:ptCount val="1"/>
                <c:pt idx="0">
                  <c:v>Lp</c:v>
                </c:pt>
              </c:strCache>
            </c:strRef>
          </c:tx>
          <c:spPr>
            <a:ln w="38100" cmpd="sng">
              <a:prstDash val="sysDot"/>
            </a:ln>
          </c:spPr>
          <c:cat>
            <c:numRef>
              <c:f>estatal!$B$2:$F$2</c:f>
              <c:numCache>
                <c:formatCode>General</c:formatCode>
                <c:ptCount val="5"/>
                <c:pt idx="0">
                  <c:v>2008</c:v>
                </c:pt>
                <c:pt idx="1">
                  <c:v>2009</c:v>
                </c:pt>
                <c:pt idx="2">
                  <c:v>2010</c:v>
                </c:pt>
                <c:pt idx="3">
                  <c:v>2011</c:v>
                </c:pt>
                <c:pt idx="4">
                  <c:v>2012</c:v>
                </c:pt>
              </c:numCache>
            </c:numRef>
          </c:cat>
          <c:val>
            <c:numRef>
              <c:f>estatal!$B$3:$F$3</c:f>
              <c:numCache>
                <c:formatCode>####.00</c:formatCode>
                <c:ptCount val="5"/>
                <c:pt idx="0">
                  <c:v>20.693629536993217</c:v>
                </c:pt>
                <c:pt idx="1">
                  <c:v>19.823805606205205</c:v>
                </c:pt>
                <c:pt idx="2">
                  <c:v>21.420760942308007</c:v>
                </c:pt>
                <c:pt idx="3">
                  <c:v>22.44164492403862</c:v>
                </c:pt>
                <c:pt idx="4">
                  <c:v>22.285029410840423</c:v>
                </c:pt>
              </c:numCache>
            </c:numRef>
          </c:val>
          <c:smooth val="0"/>
        </c:ser>
        <c:ser>
          <c:idx val="1"/>
          <c:order val="1"/>
          <c:tx>
            <c:strRef>
              <c:f>estatal!$A$4</c:f>
              <c:strCache>
                <c:ptCount val="1"/>
                <c:pt idx="0">
                  <c:v>Lp1 IDE</c:v>
                </c:pt>
              </c:strCache>
            </c:strRef>
          </c:tx>
          <c:spPr>
            <a:ln>
              <a:prstDash val="sysDash"/>
            </a:ln>
          </c:spPr>
          <c:marker>
            <c:symbol val="none"/>
          </c:marker>
          <c:cat>
            <c:numRef>
              <c:f>estatal!$B$2:$F$2</c:f>
              <c:numCache>
                <c:formatCode>General</c:formatCode>
                <c:ptCount val="5"/>
                <c:pt idx="0">
                  <c:v>2008</c:v>
                </c:pt>
                <c:pt idx="1">
                  <c:v>2009</c:v>
                </c:pt>
                <c:pt idx="2">
                  <c:v>2010</c:v>
                </c:pt>
                <c:pt idx="3">
                  <c:v>2011</c:v>
                </c:pt>
                <c:pt idx="4">
                  <c:v>2012</c:v>
                </c:pt>
              </c:numCache>
            </c:numRef>
          </c:cat>
          <c:val>
            <c:numRef>
              <c:f>estatal!$B$4:$F$4</c:f>
              <c:numCache>
                <c:formatCode>####.00</c:formatCode>
                <c:ptCount val="5"/>
                <c:pt idx="0">
                  <c:v>20.693629536993217</c:v>
                </c:pt>
                <c:pt idx="1">
                  <c:v>19.391768870993882</c:v>
                </c:pt>
                <c:pt idx="2">
                  <c:v>21.348788297384246</c:v>
                </c:pt>
                <c:pt idx="3">
                  <c:v>23.859468960475635</c:v>
                </c:pt>
                <c:pt idx="4">
                  <c:v>24.399728706653946</c:v>
                </c:pt>
              </c:numCache>
            </c:numRef>
          </c:val>
          <c:smooth val="0"/>
        </c:ser>
        <c:ser>
          <c:idx val="2"/>
          <c:order val="2"/>
          <c:tx>
            <c:strRef>
              <c:f>estatal!$A$5</c:f>
              <c:strCache>
                <c:ptCount val="1"/>
                <c:pt idx="0">
                  <c:v>Lp2 IDEP</c:v>
                </c:pt>
              </c:strCache>
            </c:strRef>
          </c:tx>
          <c:spPr>
            <a:ln>
              <a:prstDash val="dashDot"/>
            </a:ln>
          </c:spPr>
          <c:marker>
            <c:symbol val="none"/>
          </c:marker>
          <c:cat>
            <c:numRef>
              <c:f>estatal!$B$2:$F$2</c:f>
              <c:numCache>
                <c:formatCode>General</c:formatCode>
                <c:ptCount val="5"/>
                <c:pt idx="0">
                  <c:v>2008</c:v>
                </c:pt>
                <c:pt idx="1">
                  <c:v>2009</c:v>
                </c:pt>
                <c:pt idx="2">
                  <c:v>2010</c:v>
                </c:pt>
                <c:pt idx="3">
                  <c:v>2011</c:v>
                </c:pt>
                <c:pt idx="4">
                  <c:v>2012</c:v>
                </c:pt>
              </c:numCache>
            </c:numRef>
          </c:cat>
          <c:val>
            <c:numRef>
              <c:f>estatal!$B$5:$F$5</c:f>
              <c:numCache>
                <c:formatCode>####.00</c:formatCode>
                <c:ptCount val="5"/>
                <c:pt idx="0">
                  <c:v>19.770307581336493</c:v>
                </c:pt>
                <c:pt idx="1">
                  <c:v>20.391405763031099</c:v>
                </c:pt>
                <c:pt idx="2">
                  <c:v>22.295796997016737</c:v>
                </c:pt>
                <c:pt idx="3">
                  <c:v>25.669977410618522</c:v>
                </c:pt>
                <c:pt idx="4">
                  <c:v>27.135070831639787</c:v>
                </c:pt>
              </c:numCache>
            </c:numRef>
          </c:val>
          <c:smooth val="0"/>
        </c:ser>
        <c:ser>
          <c:idx val="3"/>
          <c:order val="3"/>
          <c:tx>
            <c:strRef>
              <c:f>estatal!$A$6</c:f>
              <c:strCache>
                <c:ptCount val="1"/>
                <c:pt idx="0">
                  <c:v>Lp3 IDE</c:v>
                </c:pt>
              </c:strCache>
            </c:strRef>
          </c:tx>
          <c:marker>
            <c:symbol val="none"/>
          </c:marker>
          <c:cat>
            <c:numRef>
              <c:f>estatal!$B$2:$F$2</c:f>
              <c:numCache>
                <c:formatCode>General</c:formatCode>
                <c:ptCount val="5"/>
                <c:pt idx="0">
                  <c:v>2008</c:v>
                </c:pt>
                <c:pt idx="1">
                  <c:v>2009</c:v>
                </c:pt>
                <c:pt idx="2">
                  <c:v>2010</c:v>
                </c:pt>
                <c:pt idx="3">
                  <c:v>2011</c:v>
                </c:pt>
                <c:pt idx="4">
                  <c:v>2012</c:v>
                </c:pt>
              </c:numCache>
            </c:numRef>
          </c:cat>
          <c:val>
            <c:numRef>
              <c:f>estatal!$B$6:$F$6</c:f>
              <c:numCache>
                <c:formatCode>####.00</c:formatCode>
                <c:ptCount val="5"/>
                <c:pt idx="0">
                  <c:v>18.68295746005392</c:v>
                </c:pt>
                <c:pt idx="1">
                  <c:v>18.37886791982833</c:v>
                </c:pt>
                <c:pt idx="2">
                  <c:v>20.232230950016671</c:v>
                </c:pt>
                <c:pt idx="3">
                  <c:v>22.379776263840061</c:v>
                </c:pt>
                <c:pt idx="4">
                  <c:v>22.345812907667987</c:v>
                </c:pt>
              </c:numCache>
            </c:numRef>
          </c:val>
          <c:smooth val="0"/>
        </c:ser>
        <c:ser>
          <c:idx val="4"/>
          <c:order val="4"/>
          <c:tx>
            <c:strRef>
              <c:f>estatal!$A$7</c:f>
              <c:strCache>
                <c:ptCount val="1"/>
                <c:pt idx="0">
                  <c:v>Lp1 IDEI</c:v>
                </c:pt>
              </c:strCache>
            </c:strRef>
          </c:tx>
          <c:spPr>
            <a:ln>
              <a:prstDash val="sysDash"/>
            </a:ln>
          </c:spPr>
          <c:marker>
            <c:symbol val="none"/>
          </c:marker>
          <c:cat>
            <c:numRef>
              <c:f>estatal!$B$2:$F$2</c:f>
              <c:numCache>
                <c:formatCode>General</c:formatCode>
                <c:ptCount val="5"/>
                <c:pt idx="0">
                  <c:v>2008</c:v>
                </c:pt>
                <c:pt idx="1">
                  <c:v>2009</c:v>
                </c:pt>
                <c:pt idx="2">
                  <c:v>2010</c:v>
                </c:pt>
                <c:pt idx="3">
                  <c:v>2011</c:v>
                </c:pt>
                <c:pt idx="4">
                  <c:v>2012</c:v>
                </c:pt>
              </c:numCache>
            </c:numRef>
          </c:cat>
          <c:val>
            <c:numRef>
              <c:f>estatal!$B$7:$F$7</c:f>
              <c:numCache>
                <c:formatCode>####.00</c:formatCode>
                <c:ptCount val="5"/>
                <c:pt idx="0">
                  <c:v>16.770396469473916</c:v>
                </c:pt>
                <c:pt idx="1">
                  <c:v>16.853827480429338</c:v>
                </c:pt>
                <c:pt idx="2">
                  <c:v>17.702455090676654</c:v>
                </c:pt>
                <c:pt idx="3">
                  <c:v>20.107637312317014</c:v>
                </c:pt>
                <c:pt idx="4">
                  <c:v>21.201201955947152</c:v>
                </c:pt>
              </c:numCache>
            </c:numRef>
          </c:val>
          <c:smooth val="0"/>
        </c:ser>
        <c:ser>
          <c:idx val="5"/>
          <c:order val="5"/>
          <c:tx>
            <c:strRef>
              <c:f>estatal!$A$8</c:f>
              <c:strCache>
                <c:ptCount val="1"/>
                <c:pt idx="0">
                  <c:v>Lp2 IDEIP</c:v>
                </c:pt>
              </c:strCache>
            </c:strRef>
          </c:tx>
          <c:spPr>
            <a:ln>
              <a:prstDash val="dashDot"/>
            </a:ln>
          </c:spPr>
          <c:marker>
            <c:symbol val="none"/>
          </c:marker>
          <c:cat>
            <c:numRef>
              <c:f>estatal!$B$2:$F$2</c:f>
              <c:numCache>
                <c:formatCode>General</c:formatCode>
                <c:ptCount val="5"/>
                <c:pt idx="0">
                  <c:v>2008</c:v>
                </c:pt>
                <c:pt idx="1">
                  <c:v>2009</c:v>
                </c:pt>
                <c:pt idx="2">
                  <c:v>2010</c:v>
                </c:pt>
                <c:pt idx="3">
                  <c:v>2011</c:v>
                </c:pt>
                <c:pt idx="4">
                  <c:v>2012</c:v>
                </c:pt>
              </c:numCache>
            </c:numRef>
          </c:cat>
          <c:val>
            <c:numRef>
              <c:f>estatal!$B$8:$F$8</c:f>
              <c:numCache>
                <c:formatCode>####.00</c:formatCode>
                <c:ptCount val="5"/>
                <c:pt idx="0">
                  <c:v>15.777706500654594</c:v>
                </c:pt>
                <c:pt idx="1">
                  <c:v>17.520651978972946</c:v>
                </c:pt>
                <c:pt idx="2">
                  <c:v>18.519026258404992</c:v>
                </c:pt>
                <c:pt idx="3">
                  <c:v>21.816487922515222</c:v>
                </c:pt>
                <c:pt idx="4">
                  <c:v>24.165820048478949</c:v>
                </c:pt>
              </c:numCache>
            </c:numRef>
          </c:val>
          <c:smooth val="0"/>
        </c:ser>
        <c:ser>
          <c:idx val="6"/>
          <c:order val="6"/>
          <c:tx>
            <c:strRef>
              <c:f>estatal!$A$9</c:f>
              <c:strCache>
                <c:ptCount val="1"/>
                <c:pt idx="0">
                  <c:v>Lp3 IDEI</c:v>
                </c:pt>
              </c:strCache>
            </c:strRef>
          </c:tx>
          <c:marker>
            <c:symbol val="none"/>
          </c:marker>
          <c:cat>
            <c:numRef>
              <c:f>estatal!$B$2:$F$2</c:f>
              <c:numCache>
                <c:formatCode>General</c:formatCode>
                <c:ptCount val="5"/>
                <c:pt idx="0">
                  <c:v>2008</c:v>
                </c:pt>
                <c:pt idx="1">
                  <c:v>2009</c:v>
                </c:pt>
                <c:pt idx="2">
                  <c:v>2010</c:v>
                </c:pt>
                <c:pt idx="3">
                  <c:v>2011</c:v>
                </c:pt>
                <c:pt idx="4">
                  <c:v>2012</c:v>
                </c:pt>
              </c:numCache>
            </c:numRef>
          </c:cat>
          <c:val>
            <c:numRef>
              <c:f>estatal!$B$9:$F$9</c:f>
              <c:numCache>
                <c:formatCode>####.00</c:formatCode>
                <c:ptCount val="5"/>
                <c:pt idx="0">
                  <c:v>15.514589268465858</c:v>
                </c:pt>
                <c:pt idx="1">
                  <c:v>15.539566597473005</c:v>
                </c:pt>
                <c:pt idx="2">
                  <c:v>17.094799498314433</c:v>
                </c:pt>
                <c:pt idx="3">
                  <c:v>19.314486543237035</c:v>
                </c:pt>
                <c:pt idx="4">
                  <c:v>19.495182434870742</c:v>
                </c:pt>
              </c:numCache>
            </c:numRef>
          </c:val>
          <c:smooth val="0"/>
        </c:ser>
        <c:dLbls>
          <c:showLegendKey val="0"/>
          <c:showVal val="0"/>
          <c:showCatName val="0"/>
          <c:showSerName val="0"/>
          <c:showPercent val="0"/>
          <c:showBubbleSize val="0"/>
        </c:dLbls>
        <c:marker val="1"/>
        <c:smooth val="0"/>
        <c:axId val="42536960"/>
        <c:axId val="42662656"/>
      </c:lineChart>
      <c:catAx>
        <c:axId val="42536960"/>
        <c:scaling>
          <c:orientation val="minMax"/>
        </c:scaling>
        <c:delete val="0"/>
        <c:axPos val="b"/>
        <c:numFmt formatCode="General" sourceLinked="1"/>
        <c:majorTickMark val="out"/>
        <c:minorTickMark val="none"/>
        <c:tickLblPos val="nextTo"/>
        <c:crossAx val="42662656"/>
        <c:crosses val="autoZero"/>
        <c:auto val="1"/>
        <c:lblAlgn val="ctr"/>
        <c:lblOffset val="100"/>
        <c:noMultiLvlLbl val="0"/>
      </c:catAx>
      <c:valAx>
        <c:axId val="42662656"/>
        <c:scaling>
          <c:orientation val="minMax"/>
          <c:min val="14"/>
        </c:scaling>
        <c:delete val="0"/>
        <c:axPos val="l"/>
        <c:majorGridlines/>
        <c:numFmt formatCode="#,##0" sourceLinked="0"/>
        <c:majorTickMark val="out"/>
        <c:minorTickMark val="none"/>
        <c:tickLblPos val="nextTo"/>
        <c:crossAx val="42536960"/>
        <c:crosses val="autoZero"/>
        <c:crossBetween val="between"/>
      </c:valAx>
    </c:plotArea>
    <c:legend>
      <c:legendPos val="r"/>
      <c:overlay val="0"/>
      <c:txPr>
        <a:bodyPr/>
        <a:lstStyle/>
        <a:p>
          <a:pPr>
            <a:defRPr sz="1000"/>
          </a:pPr>
          <a:endParaRPr lang="es-ES"/>
        </a:p>
      </c:txPr>
    </c:legend>
    <c:plotVisOnly val="1"/>
    <c:dispBlanksAs val="gap"/>
    <c:showDLblsOverMax val="0"/>
  </c:chart>
  <c:spPr>
    <a:noFill/>
    <a:ln>
      <a:noFill/>
    </a:ln>
  </c:spPr>
  <c:txPr>
    <a:bodyPr/>
    <a:lstStyle/>
    <a:p>
      <a:pPr>
        <a:spcAft>
          <a:spcPts val="0"/>
        </a:spcAft>
        <a:defRPr sz="1200">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probas_angela!$AV$1</c:f>
              <c:strCache>
                <c:ptCount val="1"/>
                <c:pt idx="0">
                  <c:v>Lp1 IDE 08</c:v>
                </c:pt>
              </c:strCache>
            </c:strRef>
          </c:tx>
          <c:invertIfNegative val="0"/>
          <c:cat>
            <c:strRef>
              <c:f>probas_angela!$AS$2:$AS$19</c:f>
              <c:strCache>
                <c:ptCount val="18"/>
                <c:pt idx="0">
                  <c:v>Navarra</c:v>
                </c:pt>
                <c:pt idx="1">
                  <c:v>País Vasco</c:v>
                </c:pt>
                <c:pt idx="2">
                  <c:v>Cantabria</c:v>
                </c:pt>
                <c:pt idx="3">
                  <c:v>Asturias</c:v>
                </c:pt>
                <c:pt idx="4">
                  <c:v>Cataluña</c:v>
                </c:pt>
                <c:pt idx="5">
                  <c:v>Islas Baleares</c:v>
                </c:pt>
                <c:pt idx="6">
                  <c:v>Madrid</c:v>
                </c:pt>
                <c:pt idx="7">
                  <c:v>Aragón</c:v>
                </c:pt>
                <c:pt idx="8">
                  <c:v>España</c:v>
                </c:pt>
                <c:pt idx="9">
                  <c:v>Galicia</c:v>
                </c:pt>
                <c:pt idx="10">
                  <c:v>La Rioja</c:v>
                </c:pt>
                <c:pt idx="11">
                  <c:v>Com. Valenciana</c:v>
                </c:pt>
                <c:pt idx="12">
                  <c:v>Castilla y León</c:v>
                </c:pt>
                <c:pt idx="13">
                  <c:v>Murcia</c:v>
                </c:pt>
                <c:pt idx="14">
                  <c:v>Canarias</c:v>
                </c:pt>
                <c:pt idx="15">
                  <c:v>Castilla-La Mancha</c:v>
                </c:pt>
                <c:pt idx="16">
                  <c:v>Andalucía</c:v>
                </c:pt>
                <c:pt idx="17">
                  <c:v>Extremadura</c:v>
                </c:pt>
              </c:strCache>
            </c:strRef>
          </c:cat>
          <c:val>
            <c:numRef>
              <c:f>probas_angela!$AV$2:$AV$19</c:f>
              <c:numCache>
                <c:formatCode>0.0</c:formatCode>
                <c:ptCount val="18"/>
                <c:pt idx="0">
                  <c:v>5.86</c:v>
                </c:pt>
                <c:pt idx="1">
                  <c:v>10.38</c:v>
                </c:pt>
                <c:pt idx="2">
                  <c:v>11.22</c:v>
                </c:pt>
                <c:pt idx="3">
                  <c:v>13.07</c:v>
                </c:pt>
                <c:pt idx="4">
                  <c:v>13.45</c:v>
                </c:pt>
                <c:pt idx="5">
                  <c:v>14.39</c:v>
                </c:pt>
                <c:pt idx="6">
                  <c:v>15.03</c:v>
                </c:pt>
                <c:pt idx="7">
                  <c:v>15.43</c:v>
                </c:pt>
                <c:pt idx="8">
                  <c:v>20.69</c:v>
                </c:pt>
                <c:pt idx="9">
                  <c:v>21.18</c:v>
                </c:pt>
                <c:pt idx="10">
                  <c:v>21.38</c:v>
                </c:pt>
                <c:pt idx="11">
                  <c:v>22.28</c:v>
                </c:pt>
                <c:pt idx="12">
                  <c:v>23.59</c:v>
                </c:pt>
                <c:pt idx="13">
                  <c:v>26.03</c:v>
                </c:pt>
                <c:pt idx="14">
                  <c:v>27.85</c:v>
                </c:pt>
                <c:pt idx="15">
                  <c:v>29.47</c:v>
                </c:pt>
                <c:pt idx="16">
                  <c:v>29.48</c:v>
                </c:pt>
                <c:pt idx="17">
                  <c:v>37.880000000000003</c:v>
                </c:pt>
              </c:numCache>
            </c:numRef>
          </c:val>
        </c:ser>
        <c:ser>
          <c:idx val="3"/>
          <c:order val="1"/>
          <c:tx>
            <c:strRef>
              <c:f>probas_angela!$AW$1</c:f>
              <c:strCache>
                <c:ptCount val="1"/>
                <c:pt idx="0">
                  <c:v>Lp1 IDE 12</c:v>
                </c:pt>
              </c:strCache>
            </c:strRef>
          </c:tx>
          <c:invertIfNegative val="0"/>
          <c:cat>
            <c:strRef>
              <c:f>probas_angela!$AS$2:$AS$19</c:f>
              <c:strCache>
                <c:ptCount val="18"/>
                <c:pt idx="0">
                  <c:v>Navarra</c:v>
                </c:pt>
                <c:pt idx="1">
                  <c:v>País Vasco</c:v>
                </c:pt>
                <c:pt idx="2">
                  <c:v>Cantabria</c:v>
                </c:pt>
                <c:pt idx="3">
                  <c:v>Asturias</c:v>
                </c:pt>
                <c:pt idx="4">
                  <c:v>Cataluña</c:v>
                </c:pt>
                <c:pt idx="5">
                  <c:v>Islas Baleares</c:v>
                </c:pt>
                <c:pt idx="6">
                  <c:v>Madrid</c:v>
                </c:pt>
                <c:pt idx="7">
                  <c:v>Aragón</c:v>
                </c:pt>
                <c:pt idx="8">
                  <c:v>España</c:v>
                </c:pt>
                <c:pt idx="9">
                  <c:v>Galicia</c:v>
                </c:pt>
                <c:pt idx="10">
                  <c:v>La Rioja</c:v>
                </c:pt>
                <c:pt idx="11">
                  <c:v>Com. Valenciana</c:v>
                </c:pt>
                <c:pt idx="12">
                  <c:v>Castilla y León</c:v>
                </c:pt>
                <c:pt idx="13">
                  <c:v>Murcia</c:v>
                </c:pt>
                <c:pt idx="14">
                  <c:v>Canarias</c:v>
                </c:pt>
                <c:pt idx="15">
                  <c:v>Castilla-La Mancha</c:v>
                </c:pt>
                <c:pt idx="16">
                  <c:v>Andalucía</c:v>
                </c:pt>
                <c:pt idx="17">
                  <c:v>Extremadura</c:v>
                </c:pt>
              </c:strCache>
            </c:strRef>
          </c:cat>
          <c:val>
            <c:numRef>
              <c:f>probas_angela!$AW$2:$AW$19</c:f>
              <c:numCache>
                <c:formatCode>0.0</c:formatCode>
                <c:ptCount val="18"/>
                <c:pt idx="0">
                  <c:v>8.59</c:v>
                </c:pt>
                <c:pt idx="1">
                  <c:v>14</c:v>
                </c:pt>
                <c:pt idx="2">
                  <c:v>18.63</c:v>
                </c:pt>
                <c:pt idx="3">
                  <c:v>17.68</c:v>
                </c:pt>
                <c:pt idx="4">
                  <c:v>17.829999999999998</c:v>
                </c:pt>
                <c:pt idx="5">
                  <c:v>25.43</c:v>
                </c:pt>
                <c:pt idx="6">
                  <c:v>18.010000000000002</c:v>
                </c:pt>
                <c:pt idx="7">
                  <c:v>20.91</c:v>
                </c:pt>
                <c:pt idx="8">
                  <c:v>24.4</c:v>
                </c:pt>
                <c:pt idx="9">
                  <c:v>19.63</c:v>
                </c:pt>
                <c:pt idx="10">
                  <c:v>19.64</c:v>
                </c:pt>
                <c:pt idx="11">
                  <c:v>26.37</c:v>
                </c:pt>
                <c:pt idx="12">
                  <c:v>18.3</c:v>
                </c:pt>
                <c:pt idx="13">
                  <c:v>31.92</c:v>
                </c:pt>
                <c:pt idx="14">
                  <c:v>36.58</c:v>
                </c:pt>
                <c:pt idx="15">
                  <c:v>36.6</c:v>
                </c:pt>
                <c:pt idx="16">
                  <c:v>33.869999999999997</c:v>
                </c:pt>
                <c:pt idx="17">
                  <c:v>38.299999999999997</c:v>
                </c:pt>
              </c:numCache>
            </c:numRef>
          </c:val>
        </c:ser>
        <c:ser>
          <c:idx val="4"/>
          <c:order val="2"/>
          <c:tx>
            <c:strRef>
              <c:f>probas_angela!$AX$1</c:f>
              <c:strCache>
                <c:ptCount val="1"/>
                <c:pt idx="0">
                  <c:v>Lp2 IDEP 08</c:v>
                </c:pt>
              </c:strCache>
            </c:strRef>
          </c:tx>
          <c:invertIfNegative val="0"/>
          <c:cat>
            <c:strRef>
              <c:f>probas_angela!$AS$2:$AS$19</c:f>
              <c:strCache>
                <c:ptCount val="18"/>
                <c:pt idx="0">
                  <c:v>Navarra</c:v>
                </c:pt>
                <c:pt idx="1">
                  <c:v>País Vasco</c:v>
                </c:pt>
                <c:pt idx="2">
                  <c:v>Cantabria</c:v>
                </c:pt>
                <c:pt idx="3">
                  <c:v>Asturias</c:v>
                </c:pt>
                <c:pt idx="4">
                  <c:v>Cataluña</c:v>
                </c:pt>
                <c:pt idx="5">
                  <c:v>Islas Baleares</c:v>
                </c:pt>
                <c:pt idx="6">
                  <c:v>Madrid</c:v>
                </c:pt>
                <c:pt idx="7">
                  <c:v>Aragón</c:v>
                </c:pt>
                <c:pt idx="8">
                  <c:v>España</c:v>
                </c:pt>
                <c:pt idx="9">
                  <c:v>Galicia</c:v>
                </c:pt>
                <c:pt idx="10">
                  <c:v>La Rioja</c:v>
                </c:pt>
                <c:pt idx="11">
                  <c:v>Com. Valenciana</c:v>
                </c:pt>
                <c:pt idx="12">
                  <c:v>Castilla y León</c:v>
                </c:pt>
                <c:pt idx="13">
                  <c:v>Murcia</c:v>
                </c:pt>
                <c:pt idx="14">
                  <c:v>Canarias</c:v>
                </c:pt>
                <c:pt idx="15">
                  <c:v>Castilla-La Mancha</c:v>
                </c:pt>
                <c:pt idx="16">
                  <c:v>Andalucía</c:v>
                </c:pt>
                <c:pt idx="17">
                  <c:v>Extremadura</c:v>
                </c:pt>
              </c:strCache>
            </c:strRef>
          </c:cat>
          <c:val>
            <c:numRef>
              <c:f>probas_angela!$AX$2:$AX$19</c:f>
              <c:numCache>
                <c:formatCode>0.0</c:formatCode>
                <c:ptCount val="18"/>
                <c:pt idx="0">
                  <c:v>8.07</c:v>
                </c:pt>
                <c:pt idx="1">
                  <c:v>11.7</c:v>
                </c:pt>
                <c:pt idx="2">
                  <c:v>10.86</c:v>
                </c:pt>
                <c:pt idx="3">
                  <c:v>13.07</c:v>
                </c:pt>
                <c:pt idx="4">
                  <c:v>15.99</c:v>
                </c:pt>
                <c:pt idx="5">
                  <c:v>15.73</c:v>
                </c:pt>
                <c:pt idx="6">
                  <c:v>15.03</c:v>
                </c:pt>
                <c:pt idx="7">
                  <c:v>14.59</c:v>
                </c:pt>
                <c:pt idx="8">
                  <c:v>19.77</c:v>
                </c:pt>
                <c:pt idx="9">
                  <c:v>20.62</c:v>
                </c:pt>
                <c:pt idx="10">
                  <c:v>22.36</c:v>
                </c:pt>
                <c:pt idx="11">
                  <c:v>19.559999999999999</c:v>
                </c:pt>
                <c:pt idx="12">
                  <c:v>20.059999999999999</c:v>
                </c:pt>
                <c:pt idx="13">
                  <c:v>26.03</c:v>
                </c:pt>
                <c:pt idx="14">
                  <c:v>25.63</c:v>
                </c:pt>
                <c:pt idx="15">
                  <c:v>25</c:v>
                </c:pt>
                <c:pt idx="16">
                  <c:v>27.4</c:v>
                </c:pt>
                <c:pt idx="17">
                  <c:v>27.88</c:v>
                </c:pt>
              </c:numCache>
            </c:numRef>
          </c:val>
        </c:ser>
        <c:ser>
          <c:idx val="5"/>
          <c:order val="3"/>
          <c:tx>
            <c:strRef>
              <c:f>probas_angela!$AY$1</c:f>
              <c:strCache>
                <c:ptCount val="1"/>
                <c:pt idx="0">
                  <c:v>Lp2 IDEP 12</c:v>
                </c:pt>
              </c:strCache>
            </c:strRef>
          </c:tx>
          <c:invertIfNegative val="0"/>
          <c:cat>
            <c:strRef>
              <c:f>probas_angela!$AS$2:$AS$19</c:f>
              <c:strCache>
                <c:ptCount val="18"/>
                <c:pt idx="0">
                  <c:v>Navarra</c:v>
                </c:pt>
                <c:pt idx="1">
                  <c:v>País Vasco</c:v>
                </c:pt>
                <c:pt idx="2">
                  <c:v>Cantabria</c:v>
                </c:pt>
                <c:pt idx="3">
                  <c:v>Asturias</c:v>
                </c:pt>
                <c:pt idx="4">
                  <c:v>Cataluña</c:v>
                </c:pt>
                <c:pt idx="5">
                  <c:v>Islas Baleares</c:v>
                </c:pt>
                <c:pt idx="6">
                  <c:v>Madrid</c:v>
                </c:pt>
                <c:pt idx="7">
                  <c:v>Aragón</c:v>
                </c:pt>
                <c:pt idx="8">
                  <c:v>España</c:v>
                </c:pt>
                <c:pt idx="9">
                  <c:v>Galicia</c:v>
                </c:pt>
                <c:pt idx="10">
                  <c:v>La Rioja</c:v>
                </c:pt>
                <c:pt idx="11">
                  <c:v>Com. Valenciana</c:v>
                </c:pt>
                <c:pt idx="12">
                  <c:v>Castilla y León</c:v>
                </c:pt>
                <c:pt idx="13">
                  <c:v>Murcia</c:v>
                </c:pt>
                <c:pt idx="14">
                  <c:v>Canarias</c:v>
                </c:pt>
                <c:pt idx="15">
                  <c:v>Castilla-La Mancha</c:v>
                </c:pt>
                <c:pt idx="16">
                  <c:v>Andalucía</c:v>
                </c:pt>
                <c:pt idx="17">
                  <c:v>Extremadura</c:v>
                </c:pt>
              </c:strCache>
            </c:strRef>
          </c:cat>
          <c:val>
            <c:numRef>
              <c:f>probas_angela!$AY$2:$AY$19</c:f>
              <c:numCache>
                <c:formatCode>0.0</c:formatCode>
                <c:ptCount val="18"/>
                <c:pt idx="0">
                  <c:v>11.78</c:v>
                </c:pt>
                <c:pt idx="1">
                  <c:v>17.78</c:v>
                </c:pt>
                <c:pt idx="2">
                  <c:v>21.61</c:v>
                </c:pt>
                <c:pt idx="3">
                  <c:v>22.51</c:v>
                </c:pt>
                <c:pt idx="4">
                  <c:v>23.82</c:v>
                </c:pt>
                <c:pt idx="5">
                  <c:v>30.1</c:v>
                </c:pt>
                <c:pt idx="6">
                  <c:v>19.309999999999999</c:v>
                </c:pt>
                <c:pt idx="7">
                  <c:v>22.2</c:v>
                </c:pt>
                <c:pt idx="8">
                  <c:v>27.14</c:v>
                </c:pt>
                <c:pt idx="9">
                  <c:v>23.26</c:v>
                </c:pt>
                <c:pt idx="10">
                  <c:v>25.18</c:v>
                </c:pt>
                <c:pt idx="11">
                  <c:v>28.78</c:v>
                </c:pt>
                <c:pt idx="12">
                  <c:v>20.54</c:v>
                </c:pt>
                <c:pt idx="13">
                  <c:v>37.58</c:v>
                </c:pt>
                <c:pt idx="14">
                  <c:v>37.840000000000003</c:v>
                </c:pt>
                <c:pt idx="15">
                  <c:v>36.76</c:v>
                </c:pt>
                <c:pt idx="16">
                  <c:v>35.67</c:v>
                </c:pt>
                <c:pt idx="17">
                  <c:v>33.24</c:v>
                </c:pt>
              </c:numCache>
            </c:numRef>
          </c:val>
        </c:ser>
        <c:dLbls>
          <c:showLegendKey val="0"/>
          <c:showVal val="0"/>
          <c:showCatName val="0"/>
          <c:showSerName val="0"/>
          <c:showPercent val="0"/>
          <c:showBubbleSize val="0"/>
        </c:dLbls>
        <c:gapWidth val="150"/>
        <c:axId val="42300416"/>
        <c:axId val="35261824"/>
      </c:barChart>
      <c:catAx>
        <c:axId val="42300416"/>
        <c:scaling>
          <c:orientation val="minMax"/>
        </c:scaling>
        <c:delete val="0"/>
        <c:axPos val="b"/>
        <c:majorTickMark val="out"/>
        <c:minorTickMark val="none"/>
        <c:tickLblPos val="nextTo"/>
        <c:txPr>
          <a:bodyPr/>
          <a:lstStyle/>
          <a:p>
            <a:pPr>
              <a:defRPr sz="1000"/>
            </a:pPr>
            <a:endParaRPr lang="es-ES"/>
          </a:p>
        </c:txPr>
        <c:crossAx val="35261824"/>
        <c:crosses val="autoZero"/>
        <c:auto val="1"/>
        <c:lblAlgn val="ctr"/>
        <c:lblOffset val="100"/>
        <c:noMultiLvlLbl val="0"/>
      </c:catAx>
      <c:valAx>
        <c:axId val="35261824"/>
        <c:scaling>
          <c:orientation val="minMax"/>
          <c:max val="40"/>
        </c:scaling>
        <c:delete val="0"/>
        <c:axPos val="l"/>
        <c:majorGridlines/>
        <c:numFmt formatCode="0" sourceLinked="0"/>
        <c:majorTickMark val="out"/>
        <c:minorTickMark val="none"/>
        <c:tickLblPos val="nextTo"/>
        <c:crossAx val="42300416"/>
        <c:crosses val="autoZero"/>
        <c:crossBetween val="between"/>
      </c:valAx>
    </c:plotArea>
    <c:legend>
      <c:legendPos val="t"/>
      <c:overlay val="0"/>
      <c:txPr>
        <a:bodyPr/>
        <a:lstStyle/>
        <a:p>
          <a:pPr>
            <a:defRPr sz="1200"/>
          </a:pPr>
          <a:endParaRPr lang="es-E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strRef>
              <c:f>probas_angela!$BM$2</c:f>
              <c:strCache>
                <c:ptCount val="1"/>
                <c:pt idx="0">
                  <c:v>Lp1 IDEI 08</c:v>
                </c:pt>
              </c:strCache>
            </c:strRef>
          </c:tx>
          <c:invertIfNegative val="0"/>
          <c:cat>
            <c:strRef>
              <c:f>probas_angela!$BL$3:$BL$20</c:f>
              <c:strCache>
                <c:ptCount val="18"/>
                <c:pt idx="0">
                  <c:v>Navarra</c:v>
                </c:pt>
                <c:pt idx="1">
                  <c:v>Asturias</c:v>
                </c:pt>
                <c:pt idx="2">
                  <c:v>País Vasco</c:v>
                </c:pt>
                <c:pt idx="3">
                  <c:v>Cantabria</c:v>
                </c:pt>
                <c:pt idx="4">
                  <c:v>Aragón</c:v>
                </c:pt>
                <c:pt idx="5">
                  <c:v>Madrid</c:v>
                </c:pt>
                <c:pt idx="6">
                  <c:v>Cataluña</c:v>
                </c:pt>
                <c:pt idx="7">
                  <c:v>Illes Balears</c:v>
                </c:pt>
                <c:pt idx="8">
                  <c:v>Galicia</c:v>
                </c:pt>
                <c:pt idx="9">
                  <c:v>España</c:v>
                </c:pt>
                <c:pt idx="10">
                  <c:v>Com. Valenciana</c:v>
                </c:pt>
                <c:pt idx="11">
                  <c:v>Castilla y León</c:v>
                </c:pt>
                <c:pt idx="12">
                  <c:v>La Rioja</c:v>
                </c:pt>
                <c:pt idx="13">
                  <c:v>Murcia</c:v>
                </c:pt>
                <c:pt idx="14">
                  <c:v>Canarias</c:v>
                </c:pt>
                <c:pt idx="15">
                  <c:v>Andalucía</c:v>
                </c:pt>
                <c:pt idx="16">
                  <c:v>Castilla-La Mancha</c:v>
                </c:pt>
                <c:pt idx="17">
                  <c:v>Extremadura</c:v>
                </c:pt>
              </c:strCache>
            </c:strRef>
          </c:cat>
          <c:val>
            <c:numRef>
              <c:f>probas_angela!$BM$3:$BM$20</c:f>
              <c:numCache>
                <c:formatCode>0.00</c:formatCode>
                <c:ptCount val="18"/>
                <c:pt idx="0">
                  <c:v>5.9393548858360568</c:v>
                </c:pt>
                <c:pt idx="1">
                  <c:v>7.0458958083013865</c:v>
                </c:pt>
                <c:pt idx="2">
                  <c:v>7.1024412200320501</c:v>
                </c:pt>
                <c:pt idx="3">
                  <c:v>8.1415819640169023</c:v>
                </c:pt>
                <c:pt idx="4">
                  <c:v>11.783491471102185</c:v>
                </c:pt>
                <c:pt idx="5">
                  <c:v>11.902249674102269</c:v>
                </c:pt>
                <c:pt idx="6">
                  <c:v>12.584667630445878</c:v>
                </c:pt>
                <c:pt idx="7">
                  <c:v>14.203658748818091</c:v>
                </c:pt>
                <c:pt idx="8">
                  <c:v>15.453824945089689</c:v>
                </c:pt>
                <c:pt idx="9">
                  <c:v>16.770396469473916</c:v>
                </c:pt>
                <c:pt idx="10">
                  <c:v>17.434905051020994</c:v>
                </c:pt>
                <c:pt idx="11">
                  <c:v>18.164411818260692</c:v>
                </c:pt>
                <c:pt idx="12">
                  <c:v>19.363252420274076</c:v>
                </c:pt>
                <c:pt idx="13">
                  <c:v>22.459096168239093</c:v>
                </c:pt>
                <c:pt idx="14">
                  <c:v>22.859823171449044</c:v>
                </c:pt>
                <c:pt idx="15">
                  <c:v>23.749349138002621</c:v>
                </c:pt>
                <c:pt idx="16">
                  <c:v>25.401064444556557</c:v>
                </c:pt>
                <c:pt idx="17">
                  <c:v>30.001090664274013</c:v>
                </c:pt>
              </c:numCache>
            </c:numRef>
          </c:val>
        </c:ser>
        <c:ser>
          <c:idx val="3"/>
          <c:order val="1"/>
          <c:tx>
            <c:strRef>
              <c:f>probas_angela!$BN$2</c:f>
              <c:strCache>
                <c:ptCount val="1"/>
                <c:pt idx="0">
                  <c:v>Lp1 IDEI 12</c:v>
                </c:pt>
              </c:strCache>
            </c:strRef>
          </c:tx>
          <c:invertIfNegative val="0"/>
          <c:cat>
            <c:strRef>
              <c:f>probas_angela!$BL$3:$BL$20</c:f>
              <c:strCache>
                <c:ptCount val="18"/>
                <c:pt idx="0">
                  <c:v>Navarra</c:v>
                </c:pt>
                <c:pt idx="1">
                  <c:v>Asturias</c:v>
                </c:pt>
                <c:pt idx="2">
                  <c:v>País Vasco</c:v>
                </c:pt>
                <c:pt idx="3">
                  <c:v>Cantabria</c:v>
                </c:pt>
                <c:pt idx="4">
                  <c:v>Aragón</c:v>
                </c:pt>
                <c:pt idx="5">
                  <c:v>Madrid</c:v>
                </c:pt>
                <c:pt idx="6">
                  <c:v>Cataluña</c:v>
                </c:pt>
                <c:pt idx="7">
                  <c:v>Illes Balears</c:v>
                </c:pt>
                <c:pt idx="8">
                  <c:v>Galicia</c:v>
                </c:pt>
                <c:pt idx="9">
                  <c:v>España</c:v>
                </c:pt>
                <c:pt idx="10">
                  <c:v>Com. Valenciana</c:v>
                </c:pt>
                <c:pt idx="11">
                  <c:v>Castilla y León</c:v>
                </c:pt>
                <c:pt idx="12">
                  <c:v>La Rioja</c:v>
                </c:pt>
                <c:pt idx="13">
                  <c:v>Murcia</c:v>
                </c:pt>
                <c:pt idx="14">
                  <c:v>Canarias</c:v>
                </c:pt>
                <c:pt idx="15">
                  <c:v>Andalucía</c:v>
                </c:pt>
                <c:pt idx="16">
                  <c:v>Castilla-La Mancha</c:v>
                </c:pt>
                <c:pt idx="17">
                  <c:v>Extremadura</c:v>
                </c:pt>
              </c:strCache>
            </c:strRef>
          </c:cat>
          <c:val>
            <c:numRef>
              <c:f>probas_angela!$BN$3:$BN$20</c:f>
              <c:numCache>
                <c:formatCode>0.00</c:formatCode>
                <c:ptCount val="18"/>
                <c:pt idx="0">
                  <c:v>6.1620911934541782</c:v>
                </c:pt>
                <c:pt idx="1">
                  <c:v>15.295069024170703</c:v>
                </c:pt>
                <c:pt idx="2">
                  <c:v>10.230042372511939</c:v>
                </c:pt>
                <c:pt idx="3">
                  <c:v>13.037335066590412</c:v>
                </c:pt>
                <c:pt idx="4">
                  <c:v>19.040450340578822</c:v>
                </c:pt>
                <c:pt idx="5">
                  <c:v>15.226745680917123</c:v>
                </c:pt>
                <c:pt idx="6">
                  <c:v>17.755789799503138</c:v>
                </c:pt>
                <c:pt idx="7">
                  <c:v>23.210980391731404</c:v>
                </c:pt>
                <c:pt idx="8">
                  <c:v>14.468881136443962</c:v>
                </c:pt>
                <c:pt idx="9">
                  <c:v>21.201201955947152</c:v>
                </c:pt>
                <c:pt idx="10">
                  <c:v>22.940241602224244</c:v>
                </c:pt>
                <c:pt idx="11">
                  <c:v>15.991696731093844</c:v>
                </c:pt>
                <c:pt idx="12">
                  <c:v>20.261454374960387</c:v>
                </c:pt>
                <c:pt idx="13">
                  <c:v>29.197777953052473</c:v>
                </c:pt>
                <c:pt idx="14">
                  <c:v>32.095151992719664</c:v>
                </c:pt>
                <c:pt idx="15">
                  <c:v>28.484889186295078</c:v>
                </c:pt>
                <c:pt idx="16">
                  <c:v>33.091584401580349</c:v>
                </c:pt>
                <c:pt idx="17">
                  <c:v>31.990632835559367</c:v>
                </c:pt>
              </c:numCache>
            </c:numRef>
          </c:val>
        </c:ser>
        <c:ser>
          <c:idx val="4"/>
          <c:order val="2"/>
          <c:tx>
            <c:strRef>
              <c:f>probas_angela!$BO$2</c:f>
              <c:strCache>
                <c:ptCount val="1"/>
                <c:pt idx="0">
                  <c:v>Lp2 IDEIP 08</c:v>
                </c:pt>
              </c:strCache>
            </c:strRef>
          </c:tx>
          <c:invertIfNegative val="0"/>
          <c:cat>
            <c:strRef>
              <c:f>probas_angela!$BL$3:$BL$20</c:f>
              <c:strCache>
                <c:ptCount val="18"/>
                <c:pt idx="0">
                  <c:v>Navarra</c:v>
                </c:pt>
                <c:pt idx="1">
                  <c:v>Asturias</c:v>
                </c:pt>
                <c:pt idx="2">
                  <c:v>País Vasco</c:v>
                </c:pt>
                <c:pt idx="3">
                  <c:v>Cantabria</c:v>
                </c:pt>
                <c:pt idx="4">
                  <c:v>Aragón</c:v>
                </c:pt>
                <c:pt idx="5">
                  <c:v>Madrid</c:v>
                </c:pt>
                <c:pt idx="6">
                  <c:v>Cataluña</c:v>
                </c:pt>
                <c:pt idx="7">
                  <c:v>Illes Balears</c:v>
                </c:pt>
                <c:pt idx="8">
                  <c:v>Galicia</c:v>
                </c:pt>
                <c:pt idx="9">
                  <c:v>España</c:v>
                </c:pt>
                <c:pt idx="10">
                  <c:v>Com. Valenciana</c:v>
                </c:pt>
                <c:pt idx="11">
                  <c:v>Castilla y León</c:v>
                </c:pt>
                <c:pt idx="12">
                  <c:v>La Rioja</c:v>
                </c:pt>
                <c:pt idx="13">
                  <c:v>Murcia</c:v>
                </c:pt>
                <c:pt idx="14">
                  <c:v>Canarias</c:v>
                </c:pt>
                <c:pt idx="15">
                  <c:v>Andalucía</c:v>
                </c:pt>
                <c:pt idx="16">
                  <c:v>Castilla-La Mancha</c:v>
                </c:pt>
                <c:pt idx="17">
                  <c:v>Extremadura</c:v>
                </c:pt>
              </c:strCache>
            </c:strRef>
          </c:cat>
          <c:val>
            <c:numRef>
              <c:f>probas_angela!$BO$3:$BO$20</c:f>
              <c:numCache>
                <c:formatCode>0.00</c:formatCode>
                <c:ptCount val="18"/>
                <c:pt idx="0">
                  <c:v>7.8822513118946391</c:v>
                </c:pt>
                <c:pt idx="1">
                  <c:v>7.0458958083013865</c:v>
                </c:pt>
                <c:pt idx="2">
                  <c:v>7.6652415940560354</c:v>
                </c:pt>
                <c:pt idx="3">
                  <c:v>7.9021194555943914</c:v>
                </c:pt>
                <c:pt idx="4">
                  <c:v>11.092134566321219</c:v>
                </c:pt>
                <c:pt idx="5">
                  <c:v>11.778677189607251</c:v>
                </c:pt>
                <c:pt idx="6">
                  <c:v>14.406451392529863</c:v>
                </c:pt>
                <c:pt idx="7">
                  <c:v>17.78396836835363</c:v>
                </c:pt>
                <c:pt idx="8">
                  <c:v>14.790211760618696</c:v>
                </c:pt>
                <c:pt idx="9">
                  <c:v>15.777706500654594</c:v>
                </c:pt>
                <c:pt idx="10">
                  <c:v>16.827021982058092</c:v>
                </c:pt>
                <c:pt idx="11">
                  <c:v>14.018485708271005</c:v>
                </c:pt>
                <c:pt idx="12">
                  <c:v>20.978343480883417</c:v>
                </c:pt>
                <c:pt idx="13">
                  <c:v>22.389577511725829</c:v>
                </c:pt>
                <c:pt idx="14">
                  <c:v>19.708201993948737</c:v>
                </c:pt>
                <c:pt idx="15">
                  <c:v>21.633982264668276</c:v>
                </c:pt>
                <c:pt idx="16">
                  <c:v>17.732307129208163</c:v>
                </c:pt>
                <c:pt idx="17">
                  <c:v>21.743636984973186</c:v>
                </c:pt>
              </c:numCache>
            </c:numRef>
          </c:val>
        </c:ser>
        <c:ser>
          <c:idx val="5"/>
          <c:order val="3"/>
          <c:tx>
            <c:strRef>
              <c:f>probas_angela!$BP$2</c:f>
              <c:strCache>
                <c:ptCount val="1"/>
                <c:pt idx="0">
                  <c:v>Lp2 IDEIP 12</c:v>
                </c:pt>
              </c:strCache>
            </c:strRef>
          </c:tx>
          <c:invertIfNegative val="0"/>
          <c:cat>
            <c:strRef>
              <c:f>probas_angela!$BL$3:$BL$20</c:f>
              <c:strCache>
                <c:ptCount val="18"/>
                <c:pt idx="0">
                  <c:v>Navarra</c:v>
                </c:pt>
                <c:pt idx="1">
                  <c:v>Asturias</c:v>
                </c:pt>
                <c:pt idx="2">
                  <c:v>País Vasco</c:v>
                </c:pt>
                <c:pt idx="3">
                  <c:v>Cantabria</c:v>
                </c:pt>
                <c:pt idx="4">
                  <c:v>Aragón</c:v>
                </c:pt>
                <c:pt idx="5">
                  <c:v>Madrid</c:v>
                </c:pt>
                <c:pt idx="6">
                  <c:v>Cataluña</c:v>
                </c:pt>
                <c:pt idx="7">
                  <c:v>Illes Balears</c:v>
                </c:pt>
                <c:pt idx="8">
                  <c:v>Galicia</c:v>
                </c:pt>
                <c:pt idx="9">
                  <c:v>España</c:v>
                </c:pt>
                <c:pt idx="10">
                  <c:v>Com. Valenciana</c:v>
                </c:pt>
                <c:pt idx="11">
                  <c:v>Castilla y León</c:v>
                </c:pt>
                <c:pt idx="12">
                  <c:v>La Rioja</c:v>
                </c:pt>
                <c:pt idx="13">
                  <c:v>Murcia</c:v>
                </c:pt>
                <c:pt idx="14">
                  <c:v>Canarias</c:v>
                </c:pt>
                <c:pt idx="15">
                  <c:v>Andalucía</c:v>
                </c:pt>
                <c:pt idx="16">
                  <c:v>Castilla-La Mancha</c:v>
                </c:pt>
                <c:pt idx="17">
                  <c:v>Extremadura</c:v>
                </c:pt>
              </c:strCache>
            </c:strRef>
          </c:cat>
          <c:val>
            <c:numRef>
              <c:f>probas_angela!$BP$3:$BP$20</c:f>
              <c:numCache>
                <c:formatCode>0.00</c:formatCode>
                <c:ptCount val="18"/>
                <c:pt idx="0">
                  <c:v>17.701142756200323</c:v>
                </c:pt>
                <c:pt idx="1">
                  <c:v>18.890398569182661</c:v>
                </c:pt>
                <c:pt idx="2">
                  <c:v>13.629680780823401</c:v>
                </c:pt>
                <c:pt idx="3">
                  <c:v>14.209051674968142</c:v>
                </c:pt>
                <c:pt idx="4">
                  <c:v>20.965121308119464</c:v>
                </c:pt>
                <c:pt idx="5">
                  <c:v>16.786115268229029</c:v>
                </c:pt>
                <c:pt idx="6">
                  <c:v>23.482679458670784</c:v>
                </c:pt>
                <c:pt idx="7">
                  <c:v>29.91853133446692</c:v>
                </c:pt>
                <c:pt idx="8">
                  <c:v>17.85184683781219</c:v>
                </c:pt>
                <c:pt idx="9">
                  <c:v>24.165820048478949</c:v>
                </c:pt>
                <c:pt idx="10">
                  <c:v>26.304992943574174</c:v>
                </c:pt>
                <c:pt idx="11">
                  <c:v>17.775657363135114</c:v>
                </c:pt>
                <c:pt idx="12">
                  <c:v>23.744475694016291</c:v>
                </c:pt>
                <c:pt idx="13">
                  <c:v>33.711482136889856</c:v>
                </c:pt>
                <c:pt idx="14">
                  <c:v>32.095151992719664</c:v>
                </c:pt>
                <c:pt idx="15">
                  <c:v>31.191664435852989</c:v>
                </c:pt>
                <c:pt idx="16">
                  <c:v>33.091584401580349</c:v>
                </c:pt>
                <c:pt idx="17">
                  <c:v>27.395276951356912</c:v>
                </c:pt>
              </c:numCache>
            </c:numRef>
          </c:val>
        </c:ser>
        <c:dLbls>
          <c:showLegendKey val="0"/>
          <c:showVal val="0"/>
          <c:showCatName val="0"/>
          <c:showSerName val="0"/>
          <c:showPercent val="0"/>
          <c:showBubbleSize val="0"/>
        </c:dLbls>
        <c:gapWidth val="150"/>
        <c:axId val="42540032"/>
        <c:axId val="35264704"/>
      </c:barChart>
      <c:catAx>
        <c:axId val="42540032"/>
        <c:scaling>
          <c:orientation val="minMax"/>
        </c:scaling>
        <c:delete val="0"/>
        <c:axPos val="b"/>
        <c:majorTickMark val="out"/>
        <c:minorTickMark val="none"/>
        <c:tickLblPos val="nextTo"/>
        <c:txPr>
          <a:bodyPr/>
          <a:lstStyle/>
          <a:p>
            <a:pPr>
              <a:defRPr sz="1000"/>
            </a:pPr>
            <a:endParaRPr lang="es-ES"/>
          </a:p>
        </c:txPr>
        <c:crossAx val="35264704"/>
        <c:crosses val="autoZero"/>
        <c:auto val="1"/>
        <c:lblAlgn val="ctr"/>
        <c:lblOffset val="100"/>
        <c:noMultiLvlLbl val="0"/>
      </c:catAx>
      <c:valAx>
        <c:axId val="35264704"/>
        <c:scaling>
          <c:orientation val="minMax"/>
          <c:max val="40"/>
        </c:scaling>
        <c:delete val="0"/>
        <c:axPos val="l"/>
        <c:majorGridlines/>
        <c:numFmt formatCode="0" sourceLinked="0"/>
        <c:majorTickMark val="out"/>
        <c:minorTickMark val="none"/>
        <c:tickLblPos val="nextTo"/>
        <c:crossAx val="42540032"/>
        <c:crosses val="autoZero"/>
        <c:crossBetween val="between"/>
      </c:valAx>
    </c:plotArea>
    <c:legend>
      <c:legendPos val="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probas_angela!$AT$21</c:f>
              <c:strCache>
                <c:ptCount val="1"/>
                <c:pt idx="0">
                  <c:v>Lp3 IDE 08</c:v>
                </c:pt>
              </c:strCache>
            </c:strRef>
          </c:tx>
          <c:invertIfNegative val="0"/>
          <c:cat>
            <c:strRef>
              <c:f>probas_angela!$AS$22:$AS$39</c:f>
              <c:strCache>
                <c:ptCount val="18"/>
                <c:pt idx="0">
                  <c:v>Navarra</c:v>
                </c:pt>
                <c:pt idx="1">
                  <c:v>Cantabria</c:v>
                </c:pt>
                <c:pt idx="2">
                  <c:v>Asturias</c:v>
                </c:pt>
                <c:pt idx="3">
                  <c:v>Islas Baleares</c:v>
                </c:pt>
                <c:pt idx="4">
                  <c:v>País Vasco</c:v>
                </c:pt>
                <c:pt idx="5">
                  <c:v>Extremadura</c:v>
                </c:pt>
                <c:pt idx="6">
                  <c:v>Cataluña</c:v>
                </c:pt>
                <c:pt idx="7">
                  <c:v>Com. Valenciana</c:v>
                </c:pt>
                <c:pt idx="8">
                  <c:v>Castilla-La Mancha</c:v>
                </c:pt>
                <c:pt idx="9">
                  <c:v>España</c:v>
                </c:pt>
                <c:pt idx="10">
                  <c:v>Canarias</c:v>
                </c:pt>
                <c:pt idx="11">
                  <c:v>Aragón</c:v>
                </c:pt>
                <c:pt idx="12">
                  <c:v>Andalucía</c:v>
                </c:pt>
                <c:pt idx="13">
                  <c:v>Galicia</c:v>
                </c:pt>
                <c:pt idx="14">
                  <c:v>Castilla y León</c:v>
                </c:pt>
                <c:pt idx="15">
                  <c:v>Madrid</c:v>
                </c:pt>
                <c:pt idx="16">
                  <c:v>La Rioja</c:v>
                </c:pt>
                <c:pt idx="17">
                  <c:v>Murcia</c:v>
                </c:pt>
              </c:strCache>
            </c:strRef>
          </c:cat>
          <c:val>
            <c:numRef>
              <c:f>probas_angela!$AT$22:$AT$39</c:f>
              <c:numCache>
                <c:formatCode>0.00</c:formatCode>
                <c:ptCount val="18"/>
                <c:pt idx="0">
                  <c:v>12.315465891299178</c:v>
                </c:pt>
                <c:pt idx="1">
                  <c:v>12.786426362281615</c:v>
                </c:pt>
                <c:pt idx="2">
                  <c:v>14.5954101359783</c:v>
                </c:pt>
                <c:pt idx="3">
                  <c:v>15.733558495214407</c:v>
                </c:pt>
                <c:pt idx="4">
                  <c:v>15.97833157630053</c:v>
                </c:pt>
                <c:pt idx="5">
                  <c:v>16.166642491233389</c:v>
                </c:pt>
                <c:pt idx="6">
                  <c:v>17.093908717372056</c:v>
                </c:pt>
                <c:pt idx="7">
                  <c:v>17.850530656565571</c:v>
                </c:pt>
                <c:pt idx="8">
                  <c:v>18.615341648133551</c:v>
                </c:pt>
                <c:pt idx="9">
                  <c:v>18.68295746005392</c:v>
                </c:pt>
                <c:pt idx="10">
                  <c:v>18.901979108685751</c:v>
                </c:pt>
                <c:pt idx="11">
                  <c:v>19.616294915020003</c:v>
                </c:pt>
                <c:pt idx="12">
                  <c:v>19.740583228728418</c:v>
                </c:pt>
                <c:pt idx="13">
                  <c:v>19.901934944915375</c:v>
                </c:pt>
                <c:pt idx="14">
                  <c:v>20.216714094509008</c:v>
                </c:pt>
                <c:pt idx="15">
                  <c:v>21.016731290527684</c:v>
                </c:pt>
                <c:pt idx="16">
                  <c:v>21.381616627839438</c:v>
                </c:pt>
                <c:pt idx="17">
                  <c:v>23.058902633774427</c:v>
                </c:pt>
              </c:numCache>
            </c:numRef>
          </c:val>
        </c:ser>
        <c:ser>
          <c:idx val="3"/>
          <c:order val="1"/>
          <c:tx>
            <c:strRef>
              <c:f>probas_angela!$AU$21</c:f>
              <c:strCache>
                <c:ptCount val="1"/>
                <c:pt idx="0">
                  <c:v>Lp3 IDE 12</c:v>
                </c:pt>
              </c:strCache>
            </c:strRef>
          </c:tx>
          <c:invertIfNegative val="0"/>
          <c:cat>
            <c:strRef>
              <c:f>probas_angela!$AS$22:$AS$39</c:f>
              <c:strCache>
                <c:ptCount val="18"/>
                <c:pt idx="0">
                  <c:v>Navarra</c:v>
                </c:pt>
                <c:pt idx="1">
                  <c:v>Cantabria</c:v>
                </c:pt>
                <c:pt idx="2">
                  <c:v>Asturias</c:v>
                </c:pt>
                <c:pt idx="3">
                  <c:v>Islas Baleares</c:v>
                </c:pt>
                <c:pt idx="4">
                  <c:v>País Vasco</c:v>
                </c:pt>
                <c:pt idx="5">
                  <c:v>Extremadura</c:v>
                </c:pt>
                <c:pt idx="6">
                  <c:v>Cataluña</c:v>
                </c:pt>
                <c:pt idx="7">
                  <c:v>Com. Valenciana</c:v>
                </c:pt>
                <c:pt idx="8">
                  <c:v>Castilla-La Mancha</c:v>
                </c:pt>
                <c:pt idx="9">
                  <c:v>España</c:v>
                </c:pt>
                <c:pt idx="10">
                  <c:v>Canarias</c:v>
                </c:pt>
                <c:pt idx="11">
                  <c:v>Aragón</c:v>
                </c:pt>
                <c:pt idx="12">
                  <c:v>Andalucía</c:v>
                </c:pt>
                <c:pt idx="13">
                  <c:v>Galicia</c:v>
                </c:pt>
                <c:pt idx="14">
                  <c:v>Castilla y León</c:v>
                </c:pt>
                <c:pt idx="15">
                  <c:v>Madrid</c:v>
                </c:pt>
                <c:pt idx="16">
                  <c:v>La Rioja</c:v>
                </c:pt>
                <c:pt idx="17">
                  <c:v>Murcia</c:v>
                </c:pt>
              </c:strCache>
            </c:strRef>
          </c:cat>
          <c:val>
            <c:numRef>
              <c:f>probas_angela!$AU$22:$AU$39</c:f>
              <c:numCache>
                <c:formatCode>0.00</c:formatCode>
                <c:ptCount val="18"/>
                <c:pt idx="0">
                  <c:v>18.624360304166288</c:v>
                </c:pt>
                <c:pt idx="1">
                  <c:v>21.614940255313194</c:v>
                </c:pt>
                <c:pt idx="2">
                  <c:v>21.345188848817926</c:v>
                </c:pt>
                <c:pt idx="3">
                  <c:v>26.634570990913385</c:v>
                </c:pt>
                <c:pt idx="4">
                  <c:v>18.280234795910737</c:v>
                </c:pt>
                <c:pt idx="5">
                  <c:v>19.528516661265471</c:v>
                </c:pt>
                <c:pt idx="6">
                  <c:v>21.474777651160185</c:v>
                </c:pt>
                <c:pt idx="7">
                  <c:v>24.184064082837612</c:v>
                </c:pt>
                <c:pt idx="8">
                  <c:v>26.25914851744562</c:v>
                </c:pt>
                <c:pt idx="9">
                  <c:v>22.345812907667987</c:v>
                </c:pt>
                <c:pt idx="10">
                  <c:v>27.208399617130084</c:v>
                </c:pt>
                <c:pt idx="11">
                  <c:v>25.291113983180324</c:v>
                </c:pt>
                <c:pt idx="12">
                  <c:v>21.935875493420479</c:v>
                </c:pt>
                <c:pt idx="13">
                  <c:v>16.110934991071229</c:v>
                </c:pt>
                <c:pt idx="14">
                  <c:v>17.503877722152307</c:v>
                </c:pt>
                <c:pt idx="15">
                  <c:v>23.697910276659485</c:v>
                </c:pt>
                <c:pt idx="16">
                  <c:v>19.641568017013022</c:v>
                </c:pt>
                <c:pt idx="17">
                  <c:v>29.985140529824708</c:v>
                </c:pt>
              </c:numCache>
            </c:numRef>
          </c:val>
        </c:ser>
        <c:ser>
          <c:idx val="4"/>
          <c:order val="2"/>
          <c:tx>
            <c:strRef>
              <c:f>probas_angela!$AV$21</c:f>
              <c:strCache>
                <c:ptCount val="1"/>
                <c:pt idx="0">
                  <c:v>Lp3 IDEI 08</c:v>
                </c:pt>
              </c:strCache>
            </c:strRef>
          </c:tx>
          <c:invertIfNegative val="0"/>
          <c:cat>
            <c:strRef>
              <c:f>probas_angela!$AS$22:$AS$39</c:f>
              <c:strCache>
                <c:ptCount val="18"/>
                <c:pt idx="0">
                  <c:v>Navarra</c:v>
                </c:pt>
                <c:pt idx="1">
                  <c:v>Cantabria</c:v>
                </c:pt>
                <c:pt idx="2">
                  <c:v>Asturias</c:v>
                </c:pt>
                <c:pt idx="3">
                  <c:v>Islas Baleares</c:v>
                </c:pt>
                <c:pt idx="4">
                  <c:v>País Vasco</c:v>
                </c:pt>
                <c:pt idx="5">
                  <c:v>Extremadura</c:v>
                </c:pt>
                <c:pt idx="6">
                  <c:v>Cataluña</c:v>
                </c:pt>
                <c:pt idx="7">
                  <c:v>Com. Valenciana</c:v>
                </c:pt>
                <c:pt idx="8">
                  <c:v>Castilla-La Mancha</c:v>
                </c:pt>
                <c:pt idx="9">
                  <c:v>España</c:v>
                </c:pt>
                <c:pt idx="10">
                  <c:v>Canarias</c:v>
                </c:pt>
                <c:pt idx="11">
                  <c:v>Aragón</c:v>
                </c:pt>
                <c:pt idx="12">
                  <c:v>Andalucía</c:v>
                </c:pt>
                <c:pt idx="13">
                  <c:v>Galicia</c:v>
                </c:pt>
                <c:pt idx="14">
                  <c:v>Castilla y León</c:v>
                </c:pt>
                <c:pt idx="15">
                  <c:v>Madrid</c:v>
                </c:pt>
                <c:pt idx="16">
                  <c:v>La Rioja</c:v>
                </c:pt>
                <c:pt idx="17">
                  <c:v>Murcia</c:v>
                </c:pt>
              </c:strCache>
            </c:strRef>
          </c:cat>
          <c:val>
            <c:numRef>
              <c:f>probas_angela!$AV$22:$AV$39</c:f>
              <c:numCache>
                <c:formatCode>0.00</c:formatCode>
                <c:ptCount val="18"/>
                <c:pt idx="0">
                  <c:v>11.374649553365154</c:v>
                </c:pt>
                <c:pt idx="1">
                  <c:v>10.681173800120874</c:v>
                </c:pt>
                <c:pt idx="2">
                  <c:v>10.992561998501515</c:v>
                </c:pt>
                <c:pt idx="3">
                  <c:v>16.923437800698267</c:v>
                </c:pt>
                <c:pt idx="4">
                  <c:v>11.603034675457581</c:v>
                </c:pt>
                <c:pt idx="5">
                  <c:v>14.307027398381614</c:v>
                </c:pt>
                <c:pt idx="6">
                  <c:v>15.188488172884998</c:v>
                </c:pt>
                <c:pt idx="7">
                  <c:v>16.827021982058088</c:v>
                </c:pt>
                <c:pt idx="8">
                  <c:v>13.85552052650425</c:v>
                </c:pt>
                <c:pt idx="9">
                  <c:v>15.514589268465858</c:v>
                </c:pt>
                <c:pt idx="10">
                  <c:v>16.493288976769737</c:v>
                </c:pt>
                <c:pt idx="11">
                  <c:v>13.724637875371936</c:v>
                </c:pt>
                <c:pt idx="12">
                  <c:v>15.731670158476513</c:v>
                </c:pt>
                <c:pt idx="13">
                  <c:v>13.973491416415829</c:v>
                </c:pt>
                <c:pt idx="14">
                  <c:v>13.561421780827027</c:v>
                </c:pt>
                <c:pt idx="15">
                  <c:v>17.951042033741935</c:v>
                </c:pt>
                <c:pt idx="16">
                  <c:v>20.978343480883421</c:v>
                </c:pt>
                <c:pt idx="17">
                  <c:v>21.436558552797404</c:v>
                </c:pt>
              </c:numCache>
            </c:numRef>
          </c:val>
        </c:ser>
        <c:ser>
          <c:idx val="5"/>
          <c:order val="3"/>
          <c:tx>
            <c:strRef>
              <c:f>probas_angela!$AW$21</c:f>
              <c:strCache>
                <c:ptCount val="1"/>
                <c:pt idx="0">
                  <c:v>Lp3 IDEI 12</c:v>
                </c:pt>
              </c:strCache>
            </c:strRef>
          </c:tx>
          <c:invertIfNegative val="0"/>
          <c:cat>
            <c:strRef>
              <c:f>probas_angela!$AS$22:$AS$39</c:f>
              <c:strCache>
                <c:ptCount val="18"/>
                <c:pt idx="0">
                  <c:v>Navarra</c:v>
                </c:pt>
                <c:pt idx="1">
                  <c:v>Cantabria</c:v>
                </c:pt>
                <c:pt idx="2">
                  <c:v>Asturias</c:v>
                </c:pt>
                <c:pt idx="3">
                  <c:v>Islas Baleares</c:v>
                </c:pt>
                <c:pt idx="4">
                  <c:v>País Vasco</c:v>
                </c:pt>
                <c:pt idx="5">
                  <c:v>Extremadura</c:v>
                </c:pt>
                <c:pt idx="6">
                  <c:v>Cataluña</c:v>
                </c:pt>
                <c:pt idx="7">
                  <c:v>Com. Valenciana</c:v>
                </c:pt>
                <c:pt idx="8">
                  <c:v>Castilla-La Mancha</c:v>
                </c:pt>
                <c:pt idx="9">
                  <c:v>España</c:v>
                </c:pt>
                <c:pt idx="10">
                  <c:v>Canarias</c:v>
                </c:pt>
                <c:pt idx="11">
                  <c:v>Aragón</c:v>
                </c:pt>
                <c:pt idx="12">
                  <c:v>Andalucía</c:v>
                </c:pt>
                <c:pt idx="13">
                  <c:v>Galicia</c:v>
                </c:pt>
                <c:pt idx="14">
                  <c:v>Castilla y León</c:v>
                </c:pt>
                <c:pt idx="15">
                  <c:v>Madrid</c:v>
                </c:pt>
                <c:pt idx="16">
                  <c:v>La Rioja</c:v>
                </c:pt>
                <c:pt idx="17">
                  <c:v>Murcia</c:v>
                </c:pt>
              </c:strCache>
            </c:strRef>
          </c:cat>
          <c:val>
            <c:numRef>
              <c:f>probas_angela!$AW$22:$AW$39</c:f>
              <c:numCache>
                <c:formatCode>0.00</c:formatCode>
                <c:ptCount val="18"/>
                <c:pt idx="0">
                  <c:v>17.701142756200323</c:v>
                </c:pt>
                <c:pt idx="1">
                  <c:v>14.209051674968142</c:v>
                </c:pt>
                <c:pt idx="2">
                  <c:v>18.516453615416886</c:v>
                </c:pt>
                <c:pt idx="3">
                  <c:v>23.502544966655538</c:v>
                </c:pt>
                <c:pt idx="4">
                  <c:v>15.011269595639172</c:v>
                </c:pt>
                <c:pt idx="5">
                  <c:v>15.753737825110937</c:v>
                </c:pt>
                <c:pt idx="6">
                  <c:v>20.717061367447606</c:v>
                </c:pt>
                <c:pt idx="7">
                  <c:v>21.56160925368188</c:v>
                </c:pt>
                <c:pt idx="8">
                  <c:v>23.612123471318348</c:v>
                </c:pt>
                <c:pt idx="9">
                  <c:v>19.495182434870742</c:v>
                </c:pt>
                <c:pt idx="10">
                  <c:v>22.638587994753241</c:v>
                </c:pt>
                <c:pt idx="11">
                  <c:v>22.062891093232192</c:v>
                </c:pt>
                <c:pt idx="12">
                  <c:v>17.834139153592609</c:v>
                </c:pt>
                <c:pt idx="13">
                  <c:v>12.808424017089822</c:v>
                </c:pt>
                <c:pt idx="14">
                  <c:v>14.269323081176005</c:v>
                </c:pt>
                <c:pt idx="15">
                  <c:v>21.43143453983765</c:v>
                </c:pt>
                <c:pt idx="16">
                  <c:v>20.561786273727424</c:v>
                </c:pt>
                <c:pt idx="17">
                  <c:v>25.957722229767992</c:v>
                </c:pt>
              </c:numCache>
            </c:numRef>
          </c:val>
        </c:ser>
        <c:dLbls>
          <c:showLegendKey val="0"/>
          <c:showVal val="0"/>
          <c:showCatName val="0"/>
          <c:showSerName val="0"/>
          <c:showPercent val="0"/>
          <c:showBubbleSize val="0"/>
        </c:dLbls>
        <c:gapWidth val="150"/>
        <c:axId val="42540544"/>
        <c:axId val="35265280"/>
      </c:barChart>
      <c:catAx>
        <c:axId val="42540544"/>
        <c:scaling>
          <c:orientation val="minMax"/>
        </c:scaling>
        <c:delete val="0"/>
        <c:axPos val="b"/>
        <c:majorTickMark val="out"/>
        <c:minorTickMark val="none"/>
        <c:tickLblPos val="nextTo"/>
        <c:txPr>
          <a:bodyPr/>
          <a:lstStyle/>
          <a:p>
            <a:pPr>
              <a:defRPr sz="1000"/>
            </a:pPr>
            <a:endParaRPr lang="es-ES"/>
          </a:p>
        </c:txPr>
        <c:crossAx val="35265280"/>
        <c:crosses val="autoZero"/>
        <c:auto val="1"/>
        <c:lblAlgn val="ctr"/>
        <c:lblOffset val="100"/>
        <c:noMultiLvlLbl val="0"/>
      </c:catAx>
      <c:valAx>
        <c:axId val="35265280"/>
        <c:scaling>
          <c:orientation val="minMax"/>
          <c:max val="30"/>
        </c:scaling>
        <c:delete val="0"/>
        <c:axPos val="l"/>
        <c:majorGridlines/>
        <c:numFmt formatCode="0" sourceLinked="0"/>
        <c:majorTickMark val="out"/>
        <c:minorTickMark val="none"/>
        <c:tickLblPos val="nextTo"/>
        <c:crossAx val="42540544"/>
        <c:crosses val="autoZero"/>
        <c:crossBetween val="between"/>
      </c:valAx>
    </c:plotArea>
    <c:legend>
      <c:legendPos val="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1C01F-FD06-473B-B3E1-B60E636C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8101</Words>
  <Characters>44556</Characters>
  <Application>Microsoft Office Word</Application>
  <DocSecurity>4</DocSecurity>
  <Lines>371</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Nando</dc:creator>
  <cp:lastModifiedBy>Anxela</cp:lastModifiedBy>
  <cp:revision>2</cp:revision>
  <dcterms:created xsi:type="dcterms:W3CDTF">2014-11-10T12:56:00Z</dcterms:created>
  <dcterms:modified xsi:type="dcterms:W3CDTF">2014-11-10T12:56:00Z</dcterms:modified>
</cp:coreProperties>
</file>