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9B" w:rsidRPr="00795CEF" w:rsidRDefault="00A9409B" w:rsidP="00A9409B">
      <w:pPr>
        <w:rPr>
          <w:lang w:val="en-GB"/>
        </w:rPr>
      </w:pPr>
    </w:p>
    <w:p w:rsidR="00323923" w:rsidRDefault="00323923" w:rsidP="00323923">
      <w:pPr>
        <w:jc w:val="center"/>
        <w:rPr>
          <w:b/>
          <w:sz w:val="32"/>
          <w:lang w:val="en-GB"/>
        </w:rPr>
      </w:pPr>
    </w:p>
    <w:p w:rsidR="00323923" w:rsidRDefault="00323923" w:rsidP="00323923">
      <w:pPr>
        <w:jc w:val="center"/>
        <w:rPr>
          <w:b/>
          <w:lang w:val="en-GB"/>
        </w:rPr>
      </w:pPr>
      <w:r>
        <w:rPr>
          <w:b/>
          <w:sz w:val="32"/>
          <w:lang w:val="en-GB"/>
        </w:rPr>
        <w:t>Agglomeration economies and accounting framework</w:t>
      </w:r>
    </w:p>
    <w:p w:rsidR="00323923" w:rsidRDefault="00323923" w:rsidP="00817268">
      <w:pPr>
        <w:rPr>
          <w:b/>
          <w:lang w:val="en-GB"/>
        </w:rPr>
      </w:pPr>
    </w:p>
    <w:p w:rsidR="00323923" w:rsidRDefault="00323923" w:rsidP="00817268">
      <w:pPr>
        <w:rPr>
          <w:b/>
          <w:lang w:val="en-GB"/>
        </w:rPr>
      </w:pPr>
    </w:p>
    <w:p w:rsidR="00817268" w:rsidRDefault="00795CEF" w:rsidP="00817268">
      <w:pPr>
        <w:rPr>
          <w:b/>
          <w:lang w:val="en-GB"/>
        </w:rPr>
      </w:pPr>
      <w:r w:rsidRPr="00F22434">
        <w:rPr>
          <w:b/>
          <w:lang w:val="en-GB"/>
        </w:rPr>
        <w:t>Authors and e-mail</w:t>
      </w:r>
      <w:r w:rsidR="004C20B7">
        <w:rPr>
          <w:b/>
          <w:lang w:val="en-GB"/>
        </w:rPr>
        <w:t>s</w:t>
      </w:r>
      <w:r w:rsidRPr="00F22434">
        <w:rPr>
          <w:b/>
          <w:lang w:val="en-GB"/>
        </w:rPr>
        <w:t xml:space="preserve"> of </w:t>
      </w:r>
      <w:r w:rsidR="004C20B7">
        <w:rPr>
          <w:b/>
          <w:lang w:val="en-GB"/>
        </w:rPr>
        <w:t>them</w:t>
      </w:r>
      <w:r w:rsidRPr="00F22434">
        <w:rPr>
          <w:b/>
          <w:lang w:val="en-GB"/>
        </w:rPr>
        <w:t xml:space="preserve">: </w:t>
      </w:r>
      <w:r w:rsidR="00817268">
        <w:rPr>
          <w:b/>
          <w:lang w:val="en-GB"/>
        </w:rPr>
        <w:t xml:space="preserve">Natalia </w:t>
      </w:r>
      <w:proofErr w:type="spellStart"/>
      <w:r w:rsidR="00817268">
        <w:rPr>
          <w:b/>
          <w:lang w:val="en-GB"/>
        </w:rPr>
        <w:t>Aldaz</w:t>
      </w:r>
      <w:proofErr w:type="spellEnd"/>
      <w:r w:rsidR="00817268">
        <w:rPr>
          <w:b/>
          <w:lang w:val="en-GB"/>
        </w:rPr>
        <w:t xml:space="preserve"> Ibáñez </w:t>
      </w:r>
      <w:r w:rsidR="00817268" w:rsidRPr="00D16BF3">
        <w:rPr>
          <w:lang w:val="en-GB"/>
        </w:rPr>
        <w:t>(natalia@aegern.udl.</w:t>
      </w:r>
      <w:r w:rsidR="00817268">
        <w:rPr>
          <w:lang w:val="en-GB"/>
        </w:rPr>
        <w:t>cat</w:t>
      </w:r>
      <w:r w:rsidR="00817268" w:rsidRPr="00D16BF3">
        <w:rPr>
          <w:lang w:val="en-GB"/>
        </w:rPr>
        <w:t>)*</w:t>
      </w:r>
    </w:p>
    <w:p w:rsidR="00795CEF" w:rsidRPr="00F22434" w:rsidRDefault="00817268" w:rsidP="00795CEF">
      <w:pPr>
        <w:rPr>
          <w:b/>
          <w:lang w:val="en-GB"/>
        </w:rPr>
      </w:pPr>
      <w:r>
        <w:rPr>
          <w:b/>
          <w:lang w:val="en-GB"/>
        </w:rPr>
        <w:tab/>
      </w:r>
      <w:r>
        <w:rPr>
          <w:b/>
          <w:lang w:val="en-GB"/>
        </w:rPr>
        <w:tab/>
      </w:r>
      <w:r>
        <w:rPr>
          <w:b/>
          <w:lang w:val="en-GB"/>
        </w:rPr>
        <w:tab/>
      </w:r>
      <w:r>
        <w:rPr>
          <w:b/>
          <w:lang w:val="en-GB"/>
        </w:rPr>
        <w:tab/>
      </w:r>
      <w:proofErr w:type="spellStart"/>
      <w:r>
        <w:rPr>
          <w:b/>
          <w:lang w:val="en-GB"/>
        </w:rPr>
        <w:t>Joaquín</w:t>
      </w:r>
      <w:proofErr w:type="spellEnd"/>
      <w:r>
        <w:rPr>
          <w:b/>
          <w:lang w:val="en-GB"/>
        </w:rPr>
        <w:t xml:space="preserve"> A. </w:t>
      </w:r>
      <w:proofErr w:type="spellStart"/>
      <w:r>
        <w:rPr>
          <w:b/>
          <w:lang w:val="en-GB"/>
        </w:rPr>
        <w:t>Millán</w:t>
      </w:r>
      <w:proofErr w:type="spellEnd"/>
      <w:r>
        <w:rPr>
          <w:b/>
          <w:lang w:val="en-GB"/>
        </w:rPr>
        <w:t xml:space="preserve"> </w:t>
      </w:r>
      <w:proofErr w:type="spellStart"/>
      <w:r>
        <w:rPr>
          <w:b/>
          <w:lang w:val="en-GB"/>
        </w:rPr>
        <w:t>Gómez</w:t>
      </w:r>
      <w:proofErr w:type="spellEnd"/>
      <w:r>
        <w:rPr>
          <w:b/>
          <w:lang w:val="en-GB"/>
        </w:rPr>
        <w:t xml:space="preserve"> </w:t>
      </w:r>
      <w:r w:rsidRPr="00D16BF3">
        <w:rPr>
          <w:lang w:val="en-GB"/>
        </w:rPr>
        <w:t>(joaquin.millan@upm.es</w:t>
      </w:r>
      <w:r>
        <w:rPr>
          <w:lang w:val="en-GB"/>
        </w:rPr>
        <w:t>)</w:t>
      </w:r>
    </w:p>
    <w:p w:rsidR="00795CEF" w:rsidRPr="00F22434" w:rsidRDefault="00795CEF" w:rsidP="00795CEF">
      <w:pPr>
        <w:rPr>
          <w:b/>
          <w:lang w:val="en-GB"/>
        </w:rPr>
      </w:pPr>
    </w:p>
    <w:p w:rsidR="00795CEF" w:rsidRPr="00F22434" w:rsidRDefault="00795CEF" w:rsidP="00795CEF">
      <w:pPr>
        <w:rPr>
          <w:lang w:val="en-GB"/>
        </w:rPr>
      </w:pPr>
      <w:r w:rsidRPr="00F22434">
        <w:rPr>
          <w:b/>
          <w:lang w:val="en-GB"/>
        </w:rPr>
        <w:t xml:space="preserve">Department: </w:t>
      </w:r>
      <w:r w:rsidR="00817268">
        <w:rPr>
          <w:b/>
          <w:lang w:val="en-GB"/>
        </w:rPr>
        <w:t xml:space="preserve">* </w:t>
      </w:r>
      <w:proofErr w:type="spellStart"/>
      <w:r w:rsidR="00817268" w:rsidRPr="00D16BF3">
        <w:rPr>
          <w:lang w:val="en-GB"/>
        </w:rPr>
        <w:t>Administració</w:t>
      </w:r>
      <w:proofErr w:type="spellEnd"/>
      <w:r w:rsidR="00817268" w:rsidRPr="00D16BF3">
        <w:rPr>
          <w:lang w:val="en-GB"/>
        </w:rPr>
        <w:t xml:space="preserve"> </w:t>
      </w:r>
      <w:proofErr w:type="spellStart"/>
      <w:r w:rsidR="00817268" w:rsidRPr="00D16BF3">
        <w:rPr>
          <w:lang w:val="en-GB"/>
        </w:rPr>
        <w:t>d'Empreses</w:t>
      </w:r>
      <w:proofErr w:type="spellEnd"/>
    </w:p>
    <w:p w:rsidR="00795CEF" w:rsidRPr="00F22434" w:rsidRDefault="00795CEF" w:rsidP="00795CEF">
      <w:pPr>
        <w:rPr>
          <w:b/>
          <w:lang w:val="en-GB"/>
        </w:rPr>
      </w:pPr>
    </w:p>
    <w:p w:rsidR="00795CEF" w:rsidRPr="00F22434" w:rsidRDefault="00795CEF" w:rsidP="00795CEF">
      <w:pPr>
        <w:rPr>
          <w:lang w:val="en-GB"/>
        </w:rPr>
      </w:pPr>
      <w:r w:rsidRPr="00F22434">
        <w:rPr>
          <w:b/>
          <w:lang w:val="en-GB"/>
        </w:rPr>
        <w:t xml:space="preserve">University: </w:t>
      </w:r>
      <w:r w:rsidR="00817268" w:rsidRPr="00D16BF3">
        <w:rPr>
          <w:lang w:val="en-GB"/>
        </w:rPr>
        <w:t xml:space="preserve">* </w:t>
      </w:r>
      <w:proofErr w:type="spellStart"/>
      <w:r w:rsidR="00817268" w:rsidRPr="00D16BF3">
        <w:rPr>
          <w:lang w:val="en-GB"/>
        </w:rPr>
        <w:t>Universitat</w:t>
      </w:r>
      <w:proofErr w:type="spellEnd"/>
      <w:r w:rsidR="00817268" w:rsidRPr="00D16BF3">
        <w:rPr>
          <w:lang w:val="en-GB"/>
        </w:rPr>
        <w:t xml:space="preserve"> de </w:t>
      </w:r>
      <w:proofErr w:type="spellStart"/>
      <w:r w:rsidR="00817268" w:rsidRPr="00D16BF3">
        <w:rPr>
          <w:lang w:val="en-GB"/>
        </w:rPr>
        <w:t>Lleida</w:t>
      </w:r>
      <w:proofErr w:type="spellEnd"/>
    </w:p>
    <w:p w:rsidR="00795CEF" w:rsidRPr="00F22434" w:rsidRDefault="00795CEF" w:rsidP="00795CEF">
      <w:pPr>
        <w:rPr>
          <w:b/>
          <w:lang w:val="en-GB"/>
        </w:rPr>
      </w:pPr>
    </w:p>
    <w:p w:rsidR="00817268" w:rsidRDefault="00795CEF" w:rsidP="00817268">
      <w:pPr>
        <w:rPr>
          <w:i/>
          <w:lang w:val="en-US"/>
        </w:rPr>
      </w:pPr>
      <w:r w:rsidRPr="00F22434">
        <w:rPr>
          <w:b/>
          <w:lang w:val="en-US"/>
        </w:rPr>
        <w:t xml:space="preserve">Subject area: </w:t>
      </w:r>
      <w:r w:rsidR="00817268">
        <w:rPr>
          <w:i/>
          <w:lang w:val="en-US"/>
        </w:rPr>
        <w:t>2. Growth, development, competitiveness</w:t>
      </w:r>
    </w:p>
    <w:p w:rsidR="00817268" w:rsidRPr="00F22434" w:rsidRDefault="00817268" w:rsidP="00817268">
      <w:pPr>
        <w:rPr>
          <w:i/>
          <w:lang w:val="en-US"/>
        </w:rPr>
      </w:pPr>
      <w:r>
        <w:rPr>
          <w:i/>
          <w:lang w:val="en-US"/>
        </w:rPr>
        <w:t>1. Spatial economic analysis, methods of regional analysis and spatial econometrics</w:t>
      </w:r>
    </w:p>
    <w:p w:rsidR="00795CEF" w:rsidRPr="00795CEF" w:rsidRDefault="00795CEF" w:rsidP="00795CEF">
      <w:pPr>
        <w:rPr>
          <w:b/>
          <w:lang w:val="en-US"/>
        </w:rPr>
      </w:pPr>
    </w:p>
    <w:p w:rsidR="00817268" w:rsidRPr="00453798" w:rsidRDefault="00795CEF" w:rsidP="00323923">
      <w:pPr>
        <w:jc w:val="both"/>
        <w:rPr>
          <w:i/>
          <w:lang w:val="en-GB"/>
        </w:rPr>
      </w:pPr>
      <w:r w:rsidRPr="00F22434">
        <w:rPr>
          <w:b/>
          <w:lang w:val="en-GB"/>
        </w:rPr>
        <w:t>Abstract:</w:t>
      </w:r>
      <w:r w:rsidRPr="00F22434">
        <w:rPr>
          <w:i/>
          <w:lang w:val="en-GB"/>
        </w:rPr>
        <w:t xml:space="preserve"> </w:t>
      </w:r>
      <w:r w:rsidR="00817268" w:rsidRPr="00453798">
        <w:rPr>
          <w:i/>
          <w:lang w:val="en-GB"/>
        </w:rPr>
        <w:t>Higher average productivity of firms and workers in larger cities (or regions or countries) is attributed to agglomeration economies. Agglomeration economies arise from the possibility of thick input markets, thick labo</w:t>
      </w:r>
      <w:r w:rsidR="00817268">
        <w:rPr>
          <w:i/>
          <w:lang w:val="en-GB"/>
        </w:rPr>
        <w:t>u</w:t>
      </w:r>
      <w:r w:rsidR="00817268" w:rsidRPr="00453798">
        <w:rPr>
          <w:i/>
          <w:lang w:val="en-GB"/>
        </w:rPr>
        <w:t xml:space="preserve">r markets, or learning from others.  This paper deals with an accounting issue </w:t>
      </w:r>
      <w:r w:rsidR="00817268">
        <w:rPr>
          <w:i/>
          <w:lang w:val="en-GB"/>
        </w:rPr>
        <w:t xml:space="preserve">in total factor productivity (TFP) measurement </w:t>
      </w:r>
      <w:r w:rsidR="00817268" w:rsidRPr="00453798">
        <w:rPr>
          <w:i/>
          <w:lang w:val="en-GB"/>
        </w:rPr>
        <w:t>related to thick input markets</w:t>
      </w:r>
      <w:r w:rsidR="00817268">
        <w:rPr>
          <w:i/>
          <w:lang w:val="en-GB"/>
        </w:rPr>
        <w:t xml:space="preserve">. We focus on </w:t>
      </w:r>
      <w:r w:rsidR="00817268" w:rsidRPr="00453798">
        <w:rPr>
          <w:i/>
          <w:lang w:val="en-GB"/>
        </w:rPr>
        <w:t>the impact of the share of intermediate consumption on productivity measurement. The first concern is an overvaluation of TFP in the value</w:t>
      </w:r>
      <w:r w:rsidR="00817268">
        <w:rPr>
          <w:i/>
          <w:lang w:val="en-GB"/>
        </w:rPr>
        <w:t xml:space="preserve"> </w:t>
      </w:r>
      <w:r w:rsidR="00817268" w:rsidRPr="00453798">
        <w:rPr>
          <w:i/>
          <w:lang w:val="en-GB"/>
        </w:rPr>
        <w:t xml:space="preserve">added approach due to the </w:t>
      </w:r>
      <w:proofErr w:type="spellStart"/>
      <w:r w:rsidR="00817268" w:rsidRPr="00453798">
        <w:rPr>
          <w:i/>
          <w:lang w:val="en-GB"/>
        </w:rPr>
        <w:t>Domar</w:t>
      </w:r>
      <w:proofErr w:type="spellEnd"/>
      <w:r w:rsidR="00817268" w:rsidRPr="00453798">
        <w:rPr>
          <w:i/>
          <w:lang w:val="en-GB"/>
        </w:rPr>
        <w:t xml:space="preserve"> (</w:t>
      </w:r>
      <w:proofErr w:type="spellStart"/>
      <w:r w:rsidR="00817268">
        <w:rPr>
          <w:i/>
          <w:lang w:val="en-GB"/>
        </w:rPr>
        <w:t>EconJ</w:t>
      </w:r>
      <w:proofErr w:type="spellEnd"/>
      <w:r w:rsidR="00817268">
        <w:rPr>
          <w:i/>
          <w:lang w:val="en-GB"/>
        </w:rPr>
        <w:t xml:space="preserve">, </w:t>
      </w:r>
      <w:r w:rsidR="00817268" w:rsidRPr="00453798">
        <w:rPr>
          <w:i/>
          <w:lang w:val="en-GB"/>
        </w:rPr>
        <w:t>196</w:t>
      </w:r>
      <w:r w:rsidR="00817268">
        <w:rPr>
          <w:i/>
          <w:lang w:val="en-GB"/>
        </w:rPr>
        <w:t>1</w:t>
      </w:r>
      <w:r w:rsidR="00817268" w:rsidRPr="00453798">
        <w:rPr>
          <w:i/>
          <w:lang w:val="en-GB"/>
        </w:rPr>
        <w:t xml:space="preserve">) factor. A second issue is </w:t>
      </w:r>
      <w:r w:rsidR="00817268">
        <w:rPr>
          <w:i/>
          <w:lang w:val="en-GB"/>
        </w:rPr>
        <w:t>how the</w:t>
      </w:r>
      <w:r w:rsidR="00817268" w:rsidRPr="00453798">
        <w:rPr>
          <w:i/>
          <w:lang w:val="en-GB"/>
        </w:rPr>
        <w:t xml:space="preserve"> empirical results are dependent on the use of the </w:t>
      </w:r>
      <w:r w:rsidR="00817268">
        <w:rPr>
          <w:i/>
          <w:lang w:val="en-GB"/>
        </w:rPr>
        <w:t xml:space="preserve">TFP </w:t>
      </w:r>
      <w:r w:rsidR="00817268" w:rsidRPr="00453798">
        <w:rPr>
          <w:i/>
          <w:lang w:val="en-GB"/>
        </w:rPr>
        <w:t xml:space="preserve">value-added </w:t>
      </w:r>
      <w:r w:rsidR="00817268">
        <w:rPr>
          <w:i/>
          <w:lang w:val="en-GB"/>
        </w:rPr>
        <w:t>based in</w:t>
      </w:r>
      <w:r w:rsidR="00817268" w:rsidRPr="00453798">
        <w:rPr>
          <w:i/>
          <w:lang w:val="en-GB"/>
        </w:rPr>
        <w:t xml:space="preserve"> </w:t>
      </w:r>
      <w:r w:rsidR="00817268">
        <w:rPr>
          <w:i/>
          <w:lang w:val="en-GB"/>
        </w:rPr>
        <w:t>city and regional  studies.</w:t>
      </w:r>
      <w:r w:rsidR="00817268" w:rsidRPr="00453798">
        <w:rPr>
          <w:i/>
          <w:lang w:val="en-GB"/>
        </w:rPr>
        <w:t xml:space="preserve"> </w:t>
      </w:r>
    </w:p>
    <w:p w:rsidR="00817268" w:rsidRPr="00453798" w:rsidRDefault="00817268" w:rsidP="00323923">
      <w:pPr>
        <w:jc w:val="both"/>
        <w:rPr>
          <w:i/>
          <w:lang w:val="en-GB"/>
        </w:rPr>
      </w:pPr>
      <w:r w:rsidRPr="00453798">
        <w:rPr>
          <w:i/>
          <w:lang w:val="en-GB"/>
        </w:rPr>
        <w:t xml:space="preserve">We use the </w:t>
      </w:r>
      <w:proofErr w:type="spellStart"/>
      <w:r w:rsidRPr="00453798">
        <w:rPr>
          <w:i/>
          <w:lang w:val="en-GB"/>
        </w:rPr>
        <w:t>Domar</w:t>
      </w:r>
      <w:proofErr w:type="spellEnd"/>
      <w:r w:rsidRPr="00453798">
        <w:rPr>
          <w:i/>
          <w:lang w:val="en-GB"/>
        </w:rPr>
        <w:t xml:space="preserve"> factor, the inverse of value added share in gross produc</w:t>
      </w:r>
      <w:r>
        <w:rPr>
          <w:i/>
          <w:lang w:val="en-GB"/>
        </w:rPr>
        <w:t>tion, as a multiplicative factor</w:t>
      </w:r>
      <w:r w:rsidRPr="00453798">
        <w:rPr>
          <w:i/>
          <w:lang w:val="en-GB"/>
        </w:rPr>
        <w:t xml:space="preserve"> shifting </w:t>
      </w:r>
      <w:r>
        <w:rPr>
          <w:i/>
          <w:lang w:val="en-GB"/>
        </w:rPr>
        <w:t>"value added TFP" from complete "gross production TFP"</w:t>
      </w:r>
      <w:r w:rsidRPr="00453798">
        <w:rPr>
          <w:i/>
          <w:lang w:val="en-GB"/>
        </w:rPr>
        <w:t xml:space="preserve">. The empirical analysis suggests that the value added share in gross production decreases with size for agriculture and services, and usual agglomeration economies are slightly overvalued. </w:t>
      </w:r>
      <w:r>
        <w:rPr>
          <w:i/>
          <w:lang w:val="en-GB"/>
        </w:rPr>
        <w:t>U</w:t>
      </w:r>
      <w:r w:rsidRPr="00453798">
        <w:rPr>
          <w:i/>
          <w:lang w:val="en-GB"/>
        </w:rPr>
        <w:t xml:space="preserve">nexpectedly, the </w:t>
      </w:r>
      <w:proofErr w:type="spellStart"/>
      <w:r w:rsidRPr="00453798">
        <w:rPr>
          <w:i/>
          <w:lang w:val="en-GB"/>
        </w:rPr>
        <w:t>Domar</w:t>
      </w:r>
      <w:proofErr w:type="spellEnd"/>
      <w:r w:rsidRPr="00453798">
        <w:rPr>
          <w:i/>
          <w:lang w:val="en-GB"/>
        </w:rPr>
        <w:t xml:space="preserve"> factor suggests undervaluation of the productivity in manufacturing and construction with the value added approach. </w:t>
      </w:r>
    </w:p>
    <w:p w:rsidR="00795CEF" w:rsidRPr="00F22434" w:rsidRDefault="00817268" w:rsidP="00323923">
      <w:pPr>
        <w:jc w:val="both"/>
        <w:rPr>
          <w:i/>
          <w:lang w:val="en-GB"/>
        </w:rPr>
      </w:pPr>
      <w:r>
        <w:rPr>
          <w:i/>
          <w:lang w:val="en-GB"/>
        </w:rPr>
        <w:t xml:space="preserve">Two main conclusions emerge. </w:t>
      </w:r>
      <w:r w:rsidRPr="00453798">
        <w:rPr>
          <w:i/>
          <w:lang w:val="en-GB"/>
        </w:rPr>
        <w:t xml:space="preserve">Firstly, the price and quantity effects of thick input markets greatly differ among sectors. Secondly, the </w:t>
      </w:r>
      <w:r>
        <w:rPr>
          <w:i/>
          <w:lang w:val="en-GB"/>
        </w:rPr>
        <w:t xml:space="preserve"> </w:t>
      </w:r>
      <w:r w:rsidRPr="00453798">
        <w:rPr>
          <w:i/>
          <w:lang w:val="en-GB"/>
        </w:rPr>
        <w:t xml:space="preserve">baseline </w:t>
      </w:r>
      <w:r>
        <w:rPr>
          <w:i/>
          <w:lang w:val="en-GB"/>
        </w:rPr>
        <w:t xml:space="preserve">of larger </w:t>
      </w:r>
      <w:r w:rsidRPr="00453798">
        <w:rPr>
          <w:i/>
          <w:lang w:val="en-GB"/>
        </w:rPr>
        <w:t xml:space="preserve">2% </w:t>
      </w:r>
      <w:r>
        <w:rPr>
          <w:i/>
          <w:lang w:val="en-GB"/>
        </w:rPr>
        <w:t xml:space="preserve">size </w:t>
      </w:r>
      <w:r w:rsidRPr="00453798">
        <w:rPr>
          <w:i/>
          <w:lang w:val="en-GB"/>
        </w:rPr>
        <w:t xml:space="preserve">productivity </w:t>
      </w:r>
      <w:r>
        <w:rPr>
          <w:i/>
          <w:lang w:val="en-GB"/>
        </w:rPr>
        <w:t>for manufacturing</w:t>
      </w:r>
      <w:r w:rsidRPr="00453798">
        <w:rPr>
          <w:i/>
          <w:lang w:val="en-GB"/>
        </w:rPr>
        <w:t xml:space="preserve"> in</w:t>
      </w:r>
      <w:r>
        <w:rPr>
          <w:i/>
          <w:lang w:val="en-GB"/>
        </w:rPr>
        <w:t xml:space="preserve"> </w:t>
      </w:r>
      <w:proofErr w:type="spellStart"/>
      <w:r>
        <w:rPr>
          <w:i/>
          <w:lang w:val="en-GB"/>
        </w:rPr>
        <w:t>Melo</w:t>
      </w:r>
      <w:proofErr w:type="spellEnd"/>
      <w:r>
        <w:rPr>
          <w:i/>
          <w:lang w:val="en-GB"/>
        </w:rPr>
        <w:t xml:space="preserve"> et al. (</w:t>
      </w:r>
      <w:proofErr w:type="spellStart"/>
      <w:r>
        <w:rPr>
          <w:i/>
          <w:lang w:val="en-GB"/>
        </w:rPr>
        <w:t>RegSc&amp;UrbEcon</w:t>
      </w:r>
      <w:proofErr w:type="spellEnd"/>
      <w:r>
        <w:rPr>
          <w:i/>
          <w:lang w:val="en-GB"/>
        </w:rPr>
        <w:t>, 2009) is undervalued when intermediate inputs and gross production are considered.</w:t>
      </w:r>
    </w:p>
    <w:p w:rsidR="00795CEF" w:rsidRPr="00F22434" w:rsidRDefault="00795CEF" w:rsidP="00795CEF">
      <w:pPr>
        <w:rPr>
          <w:b/>
          <w:lang w:val="en-GB"/>
        </w:rPr>
      </w:pPr>
    </w:p>
    <w:p w:rsidR="00795CEF" w:rsidRPr="00F22434" w:rsidRDefault="00795CEF" w:rsidP="00323923">
      <w:pPr>
        <w:jc w:val="both"/>
        <w:rPr>
          <w:i/>
          <w:lang w:val="en-GB"/>
        </w:rPr>
      </w:pPr>
      <w:r w:rsidRPr="00F22434">
        <w:rPr>
          <w:b/>
          <w:lang w:val="en-GB"/>
        </w:rPr>
        <w:t>K</w:t>
      </w:r>
      <w:r w:rsidR="009B7500">
        <w:rPr>
          <w:b/>
          <w:lang w:val="en-GB"/>
        </w:rPr>
        <w:t>ey</w:t>
      </w:r>
      <w:r w:rsidRPr="00F22434">
        <w:rPr>
          <w:b/>
          <w:lang w:val="en-GB"/>
        </w:rPr>
        <w:t>words:</w:t>
      </w:r>
      <w:r>
        <w:rPr>
          <w:i/>
          <w:lang w:val="en-GB"/>
        </w:rPr>
        <w:t xml:space="preserve"> </w:t>
      </w:r>
      <w:r w:rsidR="00817268">
        <w:rPr>
          <w:i/>
          <w:lang w:val="en-GB"/>
        </w:rPr>
        <w:t xml:space="preserve">Agglomeration. Productivity, </w:t>
      </w:r>
      <w:proofErr w:type="spellStart"/>
      <w:r w:rsidR="00817268">
        <w:rPr>
          <w:i/>
          <w:lang w:val="en-GB"/>
        </w:rPr>
        <w:t>Domar</w:t>
      </w:r>
      <w:proofErr w:type="spellEnd"/>
      <w:r w:rsidR="00817268">
        <w:rPr>
          <w:i/>
          <w:lang w:val="en-GB"/>
        </w:rPr>
        <w:t xml:space="preserve"> factor, Size economies, Spanish regions, Spanish provinces</w:t>
      </w:r>
      <w:r w:rsidRPr="00F22434">
        <w:rPr>
          <w:i/>
          <w:lang w:val="en-GB"/>
        </w:rPr>
        <w:t xml:space="preserve"> </w:t>
      </w:r>
    </w:p>
    <w:p w:rsidR="00795CEF" w:rsidRPr="00F22434" w:rsidRDefault="00795CEF" w:rsidP="00323923">
      <w:pPr>
        <w:jc w:val="both"/>
        <w:rPr>
          <w:b/>
          <w:lang w:val="en-GB"/>
        </w:rPr>
      </w:pPr>
      <w:r w:rsidRPr="00F22434">
        <w:rPr>
          <w:b/>
          <w:lang w:val="en-GB"/>
        </w:rPr>
        <w:t xml:space="preserve">JEL codes: </w:t>
      </w:r>
      <w:r w:rsidR="00817268" w:rsidRPr="000D681E">
        <w:rPr>
          <w:lang w:val="en-GB"/>
        </w:rPr>
        <w:t>R1</w:t>
      </w:r>
      <w:r w:rsidR="00817268">
        <w:rPr>
          <w:lang w:val="en-GB"/>
        </w:rPr>
        <w:t>2</w:t>
      </w:r>
      <w:r w:rsidR="00817268" w:rsidRPr="000D681E">
        <w:rPr>
          <w:lang w:val="en-GB"/>
        </w:rPr>
        <w:t>, R34, O47</w:t>
      </w:r>
    </w:p>
    <w:p w:rsidR="00A9409B" w:rsidRPr="00795CEF" w:rsidRDefault="00A9409B" w:rsidP="00A9409B">
      <w:pPr>
        <w:rPr>
          <w:lang w:val="en-GB"/>
        </w:rPr>
      </w:pPr>
    </w:p>
    <w:p w:rsidR="00A9409B" w:rsidRPr="00795CEF" w:rsidRDefault="00A9409B" w:rsidP="00A9409B">
      <w:pPr>
        <w:spacing w:line="600" w:lineRule="auto"/>
        <w:rPr>
          <w:lang w:val="en-GB"/>
        </w:rPr>
      </w:pPr>
    </w:p>
    <w:p w:rsidR="00A9409B" w:rsidRPr="00795CEF" w:rsidRDefault="00A9409B" w:rsidP="00A9409B">
      <w:pPr>
        <w:spacing w:line="600" w:lineRule="auto"/>
        <w:rPr>
          <w:lang w:val="en-GB"/>
        </w:rPr>
      </w:pPr>
    </w:p>
    <w:p w:rsidR="00075019" w:rsidRPr="00795CEF" w:rsidRDefault="00075019" w:rsidP="00787F68">
      <w:pPr>
        <w:spacing w:line="360" w:lineRule="auto"/>
        <w:jc w:val="both"/>
        <w:rPr>
          <w:b/>
          <w:lang w:val="en-GB"/>
        </w:rPr>
        <w:sectPr w:rsidR="00075019" w:rsidRPr="00795CEF" w:rsidSect="00BE68D3">
          <w:headerReference w:type="default" r:id="rId7"/>
          <w:footerReference w:type="default" r:id="rId8"/>
          <w:pgSz w:w="11906" w:h="16838"/>
          <w:pgMar w:top="2977" w:right="1701" w:bottom="568" w:left="1701" w:header="708" w:footer="708" w:gutter="0"/>
          <w:pgNumType w:start="0"/>
          <w:cols w:space="708"/>
          <w:docGrid w:linePitch="360"/>
        </w:sectPr>
      </w:pPr>
    </w:p>
    <w:p w:rsidR="00A9409B" w:rsidRPr="00795CEF" w:rsidRDefault="00817268" w:rsidP="00817268">
      <w:pPr>
        <w:spacing w:line="360" w:lineRule="auto"/>
        <w:jc w:val="center"/>
        <w:rPr>
          <w:b/>
          <w:lang w:val="en-GB"/>
        </w:rPr>
      </w:pPr>
      <w:r w:rsidRPr="00817268">
        <w:rPr>
          <w:b/>
          <w:lang w:val="en-GB"/>
        </w:rPr>
        <w:lastRenderedPageBreak/>
        <w:t>Agglomeration economies and accounting framework</w:t>
      </w:r>
    </w:p>
    <w:p w:rsidR="00817268" w:rsidRPr="00817268" w:rsidRDefault="00817268" w:rsidP="00817268">
      <w:pPr>
        <w:spacing w:before="120" w:after="120" w:line="360" w:lineRule="auto"/>
        <w:jc w:val="both"/>
        <w:rPr>
          <w:b/>
          <w:lang w:val="en-GB"/>
        </w:rPr>
      </w:pPr>
      <w:r w:rsidRPr="00817268">
        <w:rPr>
          <w:b/>
          <w:lang w:val="en-GB"/>
        </w:rPr>
        <w:t xml:space="preserve">1 Introduction </w:t>
      </w:r>
    </w:p>
    <w:p w:rsidR="00817268" w:rsidRPr="00817268" w:rsidRDefault="00817268" w:rsidP="00817268">
      <w:pPr>
        <w:spacing w:before="120" w:after="120" w:line="360" w:lineRule="auto"/>
        <w:jc w:val="both"/>
        <w:rPr>
          <w:lang w:val="en-GB"/>
        </w:rPr>
      </w:pPr>
      <w:r w:rsidRPr="00817268">
        <w:rPr>
          <w:lang w:val="en-GB"/>
        </w:rPr>
        <w:t xml:space="preserve">The omission of intermediate consumption in sector growth results in two kinds of empirical problems. The first concern is measurement because there is an overvaluation of TFP in the value-added approach due to the </w:t>
      </w:r>
      <w:proofErr w:type="spellStart"/>
      <w:r w:rsidRPr="00817268">
        <w:rPr>
          <w:lang w:val="en-GB"/>
        </w:rPr>
        <w:t>Domar</w:t>
      </w:r>
      <w:proofErr w:type="spellEnd"/>
      <w:r w:rsidRPr="00817268">
        <w:rPr>
          <w:lang w:val="en-GB"/>
        </w:rPr>
        <w:t xml:space="preserve"> factor, the inverse of value added share in gross production. The second issue is the way empirical results are dependent on the use of the value-added measure as the indicator of productivity, if the share of value added to gross production is not independent of other variables in the study, such as city size. In this, paper we analyze empirically the impact of using value added based measures in the empirical analysis of the size productivity of cities. We use the sample of 50 Spanish provinces in four sectors (agriculture, manufacturing, construction and services), for the period since 1985 to 1995. We use the </w:t>
      </w:r>
      <w:proofErr w:type="spellStart"/>
      <w:r w:rsidRPr="00817268">
        <w:rPr>
          <w:lang w:val="en-GB"/>
        </w:rPr>
        <w:t>Domar</w:t>
      </w:r>
      <w:proofErr w:type="spellEnd"/>
      <w:r w:rsidRPr="00817268">
        <w:rPr>
          <w:lang w:val="en-GB"/>
        </w:rPr>
        <w:t xml:space="preserve"> factor as a multiplicative factor shifting productivity measures using the value added approach. We do not estimate the productivity of the Spanish provinces, but the productivity differences explained by the </w:t>
      </w:r>
      <w:proofErr w:type="spellStart"/>
      <w:r w:rsidRPr="00817268">
        <w:rPr>
          <w:lang w:val="en-GB"/>
        </w:rPr>
        <w:t>Domar</w:t>
      </w:r>
      <w:proofErr w:type="spellEnd"/>
      <w:r w:rsidRPr="00817268">
        <w:rPr>
          <w:lang w:val="en-GB"/>
        </w:rPr>
        <w:t xml:space="preserve"> factor </w:t>
      </w:r>
    </w:p>
    <w:p w:rsidR="00817268" w:rsidRPr="00817268" w:rsidRDefault="00817268" w:rsidP="00817268">
      <w:pPr>
        <w:spacing w:before="120" w:after="120" w:line="360" w:lineRule="auto"/>
        <w:jc w:val="both"/>
        <w:rPr>
          <w:lang w:val="en-GB"/>
        </w:rPr>
      </w:pPr>
      <w:r w:rsidRPr="00817268">
        <w:rPr>
          <w:lang w:val="en-GB"/>
        </w:rPr>
        <w:t xml:space="preserve">Localization economies involve ‘clusters’ of firms benefitting them from expansion of their own industry, implying specialized production. Higher average productivity of firms and workers in larger cities is attributed to urbanization economies. Urbanization economies occur when expansion of a city benefits firms from the proximity of a variety of industries, leading to regional growth due to increases in diverse production.  As both localization and urbanization economies result from factors beyond the control of the individual firms, agglomeration economies in a region are often modelled as external scale economies. </w:t>
      </w:r>
      <w:proofErr w:type="spellStart"/>
      <w:r w:rsidRPr="00817268">
        <w:rPr>
          <w:lang w:val="en-GB"/>
        </w:rPr>
        <w:t>Duranton</w:t>
      </w:r>
      <w:proofErr w:type="spellEnd"/>
      <w:r w:rsidRPr="00817268">
        <w:rPr>
          <w:lang w:val="en-GB"/>
        </w:rPr>
        <w:t xml:space="preserve"> and </w:t>
      </w:r>
      <w:proofErr w:type="spellStart"/>
      <w:r w:rsidRPr="00817268">
        <w:rPr>
          <w:lang w:val="en-GB"/>
        </w:rPr>
        <w:t>Puga</w:t>
      </w:r>
      <w:proofErr w:type="spellEnd"/>
      <w:r w:rsidRPr="00817268">
        <w:rPr>
          <w:lang w:val="en-GB"/>
        </w:rPr>
        <w:t xml:space="preserve"> (2004) distinguish among three sources of agglomeration economies: sharing,  matching, and learning. The agglomeration economies arise from the possibility for similar firms to share suppliers (thick input markets), the existence of large workers and firms facilitating matching (thick labour markets), or the possibility to learn from the experiences and innovations of others.</w:t>
      </w:r>
    </w:p>
    <w:p w:rsidR="00817268" w:rsidRPr="00817268" w:rsidRDefault="00817268" w:rsidP="00817268">
      <w:pPr>
        <w:spacing w:before="120" w:after="120" w:line="360" w:lineRule="auto"/>
        <w:jc w:val="both"/>
        <w:rPr>
          <w:lang w:val="en-GB"/>
        </w:rPr>
      </w:pPr>
      <w:r w:rsidRPr="00817268">
        <w:rPr>
          <w:lang w:val="en-GB"/>
        </w:rPr>
        <w:t xml:space="preserve">To our knowledge, the literature has neglected an accounting issue related to thick input markets: the impact of the share of intermediate consumption on productivity measurement. A theoretically correct measure of TFP should include all the inputs and outputs involved in the production process.  However, the use of value-added approaches is more usual. The preference for a gross production approach has been </w:t>
      </w:r>
      <w:r w:rsidRPr="00817268">
        <w:rPr>
          <w:lang w:val="en-GB"/>
        </w:rPr>
        <w:lastRenderedPageBreak/>
        <w:t xml:space="preserve">acknowledged explicitly in previous literature using value-added, as in </w:t>
      </w:r>
      <w:proofErr w:type="spellStart"/>
      <w:r w:rsidRPr="00817268">
        <w:rPr>
          <w:lang w:val="en-GB"/>
        </w:rPr>
        <w:t>Hulten</w:t>
      </w:r>
      <w:proofErr w:type="spellEnd"/>
      <w:r w:rsidRPr="00817268">
        <w:rPr>
          <w:lang w:val="en-GB"/>
        </w:rPr>
        <w:t xml:space="preserve"> and Schwab (1984) and </w:t>
      </w:r>
      <w:proofErr w:type="spellStart"/>
      <w:r w:rsidRPr="00817268">
        <w:rPr>
          <w:lang w:val="en-GB"/>
        </w:rPr>
        <w:t>Moomaw</w:t>
      </w:r>
      <w:proofErr w:type="spellEnd"/>
      <w:r w:rsidRPr="00817268">
        <w:rPr>
          <w:lang w:val="en-GB"/>
        </w:rPr>
        <w:t xml:space="preserve"> and Williams (1991), where the difficulty of obtaining gross output data limits them to a net output (value-added) approach. Thus, a lack of data is one of the reasons behind the measurement of productivity based on the value-added function. The other reason for productivity measurement based on the value-added approach is that intermediate consumption compensates itself in economy-wide production. </w:t>
      </w:r>
    </w:p>
    <w:p w:rsidR="00817268" w:rsidRPr="00817268" w:rsidRDefault="00817268" w:rsidP="00817268">
      <w:pPr>
        <w:spacing w:before="120" w:after="120" w:line="360" w:lineRule="auto"/>
        <w:jc w:val="both"/>
        <w:rPr>
          <w:lang w:val="en-GB"/>
        </w:rPr>
      </w:pPr>
      <w:r w:rsidRPr="00817268">
        <w:rPr>
          <w:lang w:val="en-GB"/>
        </w:rPr>
        <w:t xml:space="preserve">The relation between gross-production–based and value-added–based total factor productivity (TFP) measures is well established in the growth accounting literature. Bruno (1978), with microeconomic analysis, and Balk (2009), with only accounting identities, have shown that a simple relationship between both TFP indices can be derived, with the </w:t>
      </w:r>
      <w:proofErr w:type="spellStart"/>
      <w:r w:rsidRPr="00817268">
        <w:rPr>
          <w:lang w:val="en-GB"/>
        </w:rPr>
        <w:t>Domar</w:t>
      </w:r>
      <w:proofErr w:type="spellEnd"/>
      <w:r w:rsidRPr="00817268">
        <w:rPr>
          <w:lang w:val="en-GB"/>
        </w:rPr>
        <w:t xml:space="preserve"> (1961) factor relating them.</w:t>
      </w:r>
    </w:p>
    <w:p w:rsidR="00817268" w:rsidRPr="00817268" w:rsidRDefault="00817268" w:rsidP="00817268">
      <w:pPr>
        <w:spacing w:before="120" w:after="120" w:line="360" w:lineRule="auto"/>
        <w:jc w:val="both"/>
        <w:rPr>
          <w:lang w:val="en-GB"/>
        </w:rPr>
      </w:pPr>
      <w:r w:rsidRPr="00817268">
        <w:rPr>
          <w:lang w:val="en-GB"/>
        </w:rPr>
        <w:t>The spatial area represented by the term city can be rather fuzzy in practice, although empirical results are, in general, irrelevant to the spatial unit under study (</w:t>
      </w:r>
      <w:proofErr w:type="spellStart"/>
      <w:r w:rsidRPr="00817268">
        <w:rPr>
          <w:lang w:val="en-GB"/>
        </w:rPr>
        <w:t>Melo</w:t>
      </w:r>
      <w:proofErr w:type="spellEnd"/>
      <w:r w:rsidRPr="00817268">
        <w:rPr>
          <w:lang w:val="en-GB"/>
        </w:rPr>
        <w:t xml:space="preserve"> et al, 2998;, </w:t>
      </w:r>
      <w:proofErr w:type="spellStart"/>
      <w:r w:rsidRPr="00817268">
        <w:rPr>
          <w:lang w:val="en-GB"/>
        </w:rPr>
        <w:t>Combes</w:t>
      </w:r>
      <w:proofErr w:type="spellEnd"/>
      <w:r w:rsidRPr="00817268">
        <w:rPr>
          <w:lang w:val="en-GB"/>
        </w:rPr>
        <w:t xml:space="preserve"> et al, 2012). Hence, in our analysis 'cities' are the Spanish provinces. The empirical urbanization literature initiated with </w:t>
      </w:r>
      <w:proofErr w:type="spellStart"/>
      <w:r w:rsidRPr="00817268">
        <w:rPr>
          <w:lang w:val="en-GB"/>
        </w:rPr>
        <w:t>Sveikauskas</w:t>
      </w:r>
      <w:proofErr w:type="spellEnd"/>
      <w:r w:rsidRPr="00817268">
        <w:rPr>
          <w:lang w:val="en-GB"/>
        </w:rPr>
        <w:t xml:space="preserve"> (1975), and its models and empirical success are surveyed in </w:t>
      </w:r>
      <w:proofErr w:type="spellStart"/>
      <w:r w:rsidRPr="00817268">
        <w:rPr>
          <w:lang w:val="en-GB"/>
        </w:rPr>
        <w:t>Duranton</w:t>
      </w:r>
      <w:proofErr w:type="spellEnd"/>
      <w:r w:rsidRPr="00817268">
        <w:rPr>
          <w:lang w:val="en-GB"/>
        </w:rPr>
        <w:t xml:space="preserve"> and </w:t>
      </w:r>
      <w:proofErr w:type="spellStart"/>
      <w:r w:rsidRPr="00817268">
        <w:rPr>
          <w:lang w:val="en-GB"/>
        </w:rPr>
        <w:t>Puga</w:t>
      </w:r>
      <w:proofErr w:type="spellEnd"/>
      <w:r w:rsidRPr="00817268">
        <w:rPr>
          <w:lang w:val="en-GB"/>
        </w:rPr>
        <w:t xml:space="preserve"> (2004), Rosenthal and Strange (2004), </w:t>
      </w:r>
      <w:proofErr w:type="spellStart"/>
      <w:r w:rsidRPr="00817268">
        <w:rPr>
          <w:lang w:val="en-GB"/>
        </w:rPr>
        <w:t>Melo</w:t>
      </w:r>
      <w:proofErr w:type="spellEnd"/>
      <w:r w:rsidRPr="00817268">
        <w:rPr>
          <w:lang w:val="en-GB"/>
        </w:rPr>
        <w:t xml:space="preserve"> et al. (2009)</w:t>
      </w:r>
      <w:r w:rsidR="00FD6B8A">
        <w:rPr>
          <w:lang w:val="en-GB"/>
        </w:rPr>
        <w:t xml:space="preserve"> and </w:t>
      </w:r>
      <w:proofErr w:type="spellStart"/>
      <w:r w:rsidR="00FD6B8A">
        <w:rPr>
          <w:lang w:val="en-GB"/>
        </w:rPr>
        <w:t>Cpmbes</w:t>
      </w:r>
      <w:proofErr w:type="spellEnd"/>
      <w:r w:rsidR="00FD6B8A">
        <w:rPr>
          <w:lang w:val="en-GB"/>
        </w:rPr>
        <w:t xml:space="preserve"> and </w:t>
      </w:r>
      <w:proofErr w:type="spellStart"/>
      <w:r w:rsidR="00FD6B8A">
        <w:rPr>
          <w:lang w:val="en-GB"/>
        </w:rPr>
        <w:t>Gobillon</w:t>
      </w:r>
      <w:proofErr w:type="spellEnd"/>
      <w:r w:rsidR="00FD6B8A">
        <w:rPr>
          <w:lang w:val="en-GB"/>
        </w:rPr>
        <w:t xml:space="preserve"> (2015)</w:t>
      </w:r>
      <w:r w:rsidRPr="00817268">
        <w:rPr>
          <w:lang w:val="en-GB"/>
        </w:rPr>
        <w:t>. A fact firmly established is that firms and workers are, on average, more productive in larger cities due to urbanization economies. However, estimates of the elasticity of productivity with respect to city size vary remarkably, ranging between 0.02 and 0.10, depending, among other things, on the sector and the details of the estimation procedure  (</w:t>
      </w:r>
      <w:proofErr w:type="spellStart"/>
      <w:r w:rsidRPr="00817268">
        <w:rPr>
          <w:lang w:val="en-GB"/>
        </w:rPr>
        <w:t>Melo</w:t>
      </w:r>
      <w:proofErr w:type="spellEnd"/>
      <w:r w:rsidRPr="00817268">
        <w:rPr>
          <w:lang w:val="en-GB"/>
        </w:rPr>
        <w:t xml:space="preserve"> et al., 2009). That is, a city that is 10% larger in population offers wages that are 0.2 to 1% higher; doubling city size, other things equal, means that the firm in the larger city are 2% to 10% more productive.  </w:t>
      </w:r>
      <w:proofErr w:type="spellStart"/>
      <w:r w:rsidRPr="00817268">
        <w:rPr>
          <w:lang w:val="en-GB"/>
        </w:rPr>
        <w:t>Melo</w:t>
      </w:r>
      <w:proofErr w:type="spellEnd"/>
      <w:r w:rsidRPr="00817268">
        <w:rPr>
          <w:lang w:val="en-GB"/>
        </w:rPr>
        <w:t xml:space="preserve"> et al. (2009) report that service industries tend to derive considerably larger benefits from urban agglomeration, about 8% higher than the elasticity estimates for the aggregate economy, while there is no statistical difference between the effect of urbanization for manufacturing industries and the whole economy. The possibility of changing urbanization effects for different periods is explicitly analyzed also in </w:t>
      </w:r>
      <w:proofErr w:type="spellStart"/>
      <w:r w:rsidRPr="00817268">
        <w:rPr>
          <w:lang w:val="en-GB"/>
        </w:rPr>
        <w:t>Melo</w:t>
      </w:r>
      <w:proofErr w:type="spellEnd"/>
      <w:r w:rsidRPr="00817268">
        <w:rPr>
          <w:lang w:val="en-GB"/>
        </w:rPr>
        <w:t xml:space="preserve"> et al. (2009)</w:t>
      </w:r>
    </w:p>
    <w:p w:rsidR="00817268" w:rsidRPr="00817268" w:rsidRDefault="00817268" w:rsidP="00817268">
      <w:pPr>
        <w:spacing w:before="120" w:after="120" w:line="360" w:lineRule="auto"/>
        <w:jc w:val="both"/>
        <w:rPr>
          <w:lang w:val="en-GB"/>
        </w:rPr>
      </w:pPr>
      <w:r w:rsidRPr="00817268">
        <w:rPr>
          <w:lang w:val="en-GB"/>
        </w:rPr>
        <w:t xml:space="preserve">The empirical work involves regressing an outcome variable by location on a measure of  agglomeration. In the early literature, the typical regression of choice involved using </w:t>
      </w:r>
      <w:r w:rsidRPr="00817268">
        <w:rPr>
          <w:lang w:val="en-GB"/>
        </w:rPr>
        <w:lastRenderedPageBreak/>
        <w:t xml:space="preserve">partial productivity measures as output per  worker as the dependent variable and city population as the explanatory variable. Other analysis use wages, which are related to marginal productivities. The recent contribution of </w:t>
      </w:r>
      <w:proofErr w:type="spellStart"/>
      <w:r w:rsidRPr="00817268">
        <w:rPr>
          <w:lang w:val="en-GB"/>
        </w:rPr>
        <w:t>Duranton</w:t>
      </w:r>
      <w:proofErr w:type="spellEnd"/>
      <w:r w:rsidRPr="00817268">
        <w:rPr>
          <w:lang w:val="en-GB"/>
        </w:rPr>
        <w:t xml:space="preserve"> et al. (2012) focus on total factor productivity (value added based, as in most studies). A survey of issues related to the use of production techniques for the empirical analysis of agglomeration effects included production or cost systems,  is Cohen and Morrison Paul (2009).</w:t>
      </w:r>
    </w:p>
    <w:p w:rsidR="00817268" w:rsidRPr="00817268" w:rsidRDefault="00817268" w:rsidP="00817268">
      <w:pPr>
        <w:spacing w:before="120" w:after="120" w:line="360" w:lineRule="auto"/>
        <w:jc w:val="both"/>
        <w:rPr>
          <w:b/>
          <w:lang w:val="en-GB"/>
        </w:rPr>
      </w:pPr>
      <w:r w:rsidRPr="00817268">
        <w:rPr>
          <w:b/>
          <w:lang w:val="en-GB"/>
        </w:rPr>
        <w:t>2 Methodology</w:t>
      </w:r>
    </w:p>
    <w:p w:rsidR="00FD6B8A" w:rsidRDefault="00817268" w:rsidP="00817268">
      <w:pPr>
        <w:spacing w:before="120" w:after="120" w:line="360" w:lineRule="auto"/>
        <w:jc w:val="both"/>
        <w:rPr>
          <w:lang w:val="en-GB"/>
        </w:rPr>
      </w:pPr>
      <w:r w:rsidRPr="00817268">
        <w:rPr>
          <w:lang w:val="en-GB"/>
        </w:rPr>
        <w:t>Different econometric techniques have been used to capture agglomeration, some of which are fundamentally non-spatial (</w:t>
      </w:r>
      <w:proofErr w:type="spellStart"/>
      <w:r w:rsidRPr="00817268">
        <w:rPr>
          <w:lang w:val="en-GB"/>
        </w:rPr>
        <w:t>Glaeser</w:t>
      </w:r>
      <w:proofErr w:type="spellEnd"/>
      <w:r w:rsidRPr="00817268">
        <w:rPr>
          <w:lang w:val="en-GB"/>
        </w:rPr>
        <w:t xml:space="preserve"> et al, 1992; Ellison and </w:t>
      </w:r>
      <w:proofErr w:type="spellStart"/>
      <w:r w:rsidRPr="00817268">
        <w:rPr>
          <w:lang w:val="en-GB"/>
        </w:rPr>
        <w:t>Glaeser</w:t>
      </w:r>
      <w:proofErr w:type="spellEnd"/>
      <w:r w:rsidRPr="00817268">
        <w:rPr>
          <w:lang w:val="en-GB"/>
        </w:rPr>
        <w:t xml:space="preserve"> 1997; Cohen and Morrison Paul 2009) and some of which are explicitly spatial (</w:t>
      </w:r>
      <w:proofErr w:type="spellStart"/>
      <w:r w:rsidRPr="00817268">
        <w:rPr>
          <w:lang w:val="en-GB"/>
        </w:rPr>
        <w:t>Fingleton</w:t>
      </w:r>
      <w:proofErr w:type="spellEnd"/>
      <w:r w:rsidRPr="00817268">
        <w:rPr>
          <w:lang w:val="en-GB"/>
        </w:rPr>
        <w:t xml:space="preserve"> 2003) in their respective approaches. Because agglomeration economies are cost reductions that occur because economic activities concentrate, a productivity framework that extents to spatial features is appealing. </w:t>
      </w:r>
      <w:r w:rsidR="00FD6B8A" w:rsidRPr="00817268">
        <w:rPr>
          <w:lang w:val="en-GB"/>
        </w:rPr>
        <w:t xml:space="preserve">Cohen and Morrison Paul </w:t>
      </w:r>
      <w:r w:rsidR="00FD6B8A">
        <w:rPr>
          <w:lang w:val="en-GB"/>
        </w:rPr>
        <w:t>(</w:t>
      </w:r>
      <w:r w:rsidR="00FD6B8A" w:rsidRPr="00817268">
        <w:rPr>
          <w:lang w:val="en-GB"/>
        </w:rPr>
        <w:t>2009</w:t>
      </w:r>
      <w:r w:rsidR="00FD6B8A">
        <w:rPr>
          <w:lang w:val="en-GB"/>
        </w:rPr>
        <w:t xml:space="preserve">), </w:t>
      </w:r>
      <w:proofErr w:type="spellStart"/>
      <w:r w:rsidR="00FD6B8A">
        <w:rPr>
          <w:lang w:val="en-GB"/>
        </w:rPr>
        <w:t>Otsuka</w:t>
      </w:r>
      <w:proofErr w:type="spellEnd"/>
      <w:r w:rsidR="00FD6B8A">
        <w:rPr>
          <w:lang w:val="en-GB"/>
        </w:rPr>
        <w:t xml:space="preserve"> and </w:t>
      </w:r>
      <w:proofErr w:type="spellStart"/>
      <w:r w:rsidR="00FD6B8A">
        <w:rPr>
          <w:lang w:val="en-GB"/>
        </w:rPr>
        <w:t>Goto</w:t>
      </w:r>
      <w:proofErr w:type="spellEnd"/>
      <w:r w:rsidR="00FD6B8A">
        <w:rPr>
          <w:lang w:val="en-GB"/>
        </w:rPr>
        <w:t xml:space="preserve"> (2015) and </w:t>
      </w:r>
      <w:proofErr w:type="spellStart"/>
      <w:r w:rsidR="00FD6B8A">
        <w:rPr>
          <w:lang w:val="en-GB"/>
        </w:rPr>
        <w:t>Otsuka</w:t>
      </w:r>
      <w:proofErr w:type="spellEnd"/>
      <w:r w:rsidR="00FD6B8A">
        <w:rPr>
          <w:lang w:val="en-GB"/>
        </w:rPr>
        <w:t xml:space="preserve"> (2017) </w:t>
      </w:r>
      <w:r w:rsidR="00A6384A">
        <w:rPr>
          <w:lang w:val="en-GB"/>
        </w:rPr>
        <w:t>are recent presentations of the</w:t>
      </w:r>
      <w:r w:rsidR="00FD6B8A">
        <w:rPr>
          <w:lang w:val="en-GB"/>
        </w:rPr>
        <w:t xml:space="preserve"> productivity </w:t>
      </w:r>
      <w:r w:rsidR="00A6384A">
        <w:rPr>
          <w:lang w:val="en-GB"/>
        </w:rPr>
        <w:t>approach to agglomeration economies</w:t>
      </w:r>
      <w:r w:rsidR="00FD6B8A">
        <w:rPr>
          <w:lang w:val="en-GB"/>
        </w:rPr>
        <w:t>.</w:t>
      </w:r>
    </w:p>
    <w:p w:rsidR="00817268" w:rsidRPr="00817268" w:rsidRDefault="00817268" w:rsidP="00817268">
      <w:pPr>
        <w:spacing w:before="120" w:after="120" w:line="360" w:lineRule="auto"/>
        <w:jc w:val="both"/>
        <w:rPr>
          <w:lang w:val="en-GB"/>
        </w:rPr>
      </w:pPr>
      <w:r w:rsidRPr="00817268">
        <w:rPr>
          <w:lang w:val="en-GB"/>
        </w:rPr>
        <w:t xml:space="preserve">The main methodological tool in the sources of growth approach to productivity change consists of a production function with constant returns to scale for each industry with output expressed as a function of capital, labour, and intermediate input inputs and the level of technology. The production function for the industry </w:t>
      </w:r>
      <w:proofErr w:type="spellStart"/>
      <w:r w:rsidRPr="00817268">
        <w:rPr>
          <w:lang w:val="en-GB"/>
        </w:rPr>
        <w:t>i</w:t>
      </w:r>
      <w:proofErr w:type="spellEnd"/>
      <w:r w:rsidRPr="00817268">
        <w:rPr>
          <w:lang w:val="en-GB"/>
        </w:rPr>
        <w:t xml:space="preserve"> in city j gives the quantity of output, say </w:t>
      </w:r>
      <w:proofErr w:type="spellStart"/>
      <w:r w:rsidRPr="00817268">
        <w:rPr>
          <w:lang w:val="en-GB"/>
        </w:rPr>
        <w:t>Y</w:t>
      </w:r>
      <w:r w:rsidRPr="00817268">
        <w:rPr>
          <w:vertAlign w:val="subscript"/>
          <w:lang w:val="en-GB"/>
        </w:rPr>
        <w:t>ij</w:t>
      </w:r>
      <w:proofErr w:type="spellEnd"/>
      <w:r w:rsidRPr="00817268">
        <w:rPr>
          <w:lang w:val="en-GB"/>
        </w:rPr>
        <w:t xml:space="preserve">, as a function of capital, </w:t>
      </w:r>
      <w:proofErr w:type="spellStart"/>
      <w:r w:rsidRPr="00817268">
        <w:rPr>
          <w:lang w:val="en-GB"/>
        </w:rPr>
        <w:t>K</w:t>
      </w:r>
      <w:r w:rsidRPr="00817268">
        <w:rPr>
          <w:vertAlign w:val="subscript"/>
          <w:lang w:val="en-GB"/>
        </w:rPr>
        <w:t>ij</w:t>
      </w:r>
      <w:proofErr w:type="spellEnd"/>
      <w:r w:rsidRPr="00817268">
        <w:rPr>
          <w:lang w:val="en-GB"/>
        </w:rPr>
        <w:t xml:space="preserve">, </w:t>
      </w:r>
      <w:r w:rsidR="00FD6B8A">
        <w:rPr>
          <w:lang w:val="en-GB"/>
        </w:rPr>
        <w:t>labour</w:t>
      </w:r>
      <w:r w:rsidRPr="00817268">
        <w:rPr>
          <w:lang w:val="en-GB"/>
        </w:rPr>
        <w:t xml:space="preserve">, </w:t>
      </w:r>
      <w:proofErr w:type="spellStart"/>
      <w:r w:rsidRPr="00817268">
        <w:rPr>
          <w:lang w:val="en-GB"/>
        </w:rPr>
        <w:t>L</w:t>
      </w:r>
      <w:r w:rsidRPr="00817268">
        <w:rPr>
          <w:vertAlign w:val="subscript"/>
          <w:lang w:val="en-GB"/>
        </w:rPr>
        <w:t>ij</w:t>
      </w:r>
      <w:proofErr w:type="spellEnd"/>
      <w:r w:rsidRPr="00817268">
        <w:rPr>
          <w:lang w:val="en-GB"/>
        </w:rPr>
        <w:t xml:space="preserve">, intermediate inputs , </w:t>
      </w:r>
      <w:proofErr w:type="spellStart"/>
      <w:r w:rsidRPr="00817268">
        <w:rPr>
          <w:lang w:val="en-GB"/>
        </w:rPr>
        <w:t>M</w:t>
      </w:r>
      <w:r w:rsidRPr="00817268">
        <w:rPr>
          <w:vertAlign w:val="subscript"/>
          <w:lang w:val="en-GB"/>
        </w:rPr>
        <w:t>ij</w:t>
      </w:r>
      <w:proofErr w:type="spellEnd"/>
      <w:r w:rsidRPr="00817268">
        <w:rPr>
          <w:lang w:val="en-GB"/>
        </w:rPr>
        <w:t xml:space="preserve">, and the level of technology, </w:t>
      </w:r>
      <w:proofErr w:type="spellStart"/>
      <w:r w:rsidRPr="00817268">
        <w:rPr>
          <w:lang w:val="en-GB"/>
        </w:rPr>
        <w:t>A</w:t>
      </w:r>
      <w:r w:rsidRPr="00817268">
        <w:rPr>
          <w:vertAlign w:val="subscript"/>
          <w:lang w:val="en-GB"/>
        </w:rPr>
        <w:t>ij</w:t>
      </w:r>
      <w:proofErr w:type="spellEnd"/>
      <w:r w:rsidRPr="00817268">
        <w:rPr>
          <w:lang w:val="en-GB"/>
        </w:rPr>
        <w:t xml:space="preserve">, where all inputs are measured as service flows rather than stocks: </w:t>
      </w:r>
    </w:p>
    <w:p w:rsidR="00817268" w:rsidRPr="00817268" w:rsidRDefault="00817268" w:rsidP="00817268">
      <w:pPr>
        <w:spacing w:before="120" w:after="120" w:line="360" w:lineRule="auto"/>
        <w:jc w:val="both"/>
        <w:rPr>
          <w:lang w:val="en-GB"/>
        </w:rPr>
      </w:pPr>
      <w:r w:rsidRPr="00817268">
        <w:rPr>
          <w:lang w:val="en-GB"/>
        </w:rPr>
        <w:t>(1)</w:t>
      </w:r>
      <w:r w:rsidRPr="00817268">
        <w:rPr>
          <w:lang w:val="en-GB"/>
        </w:rPr>
        <w:tab/>
      </w:r>
      <w:r w:rsidRPr="00817268">
        <w:rPr>
          <w:lang w:val="en-GB"/>
        </w:rPr>
        <w:tab/>
      </w:r>
      <w:r w:rsidRPr="00817268">
        <w:rPr>
          <w:lang w:val="en-GB"/>
        </w:rPr>
        <w:tab/>
      </w:r>
      <w:r w:rsidRPr="00817268">
        <w:rPr>
          <w:lang w:val="en-GB"/>
        </w:rPr>
        <w:tab/>
      </w:r>
      <w:proofErr w:type="spellStart"/>
      <w:r w:rsidRPr="00817268">
        <w:rPr>
          <w:lang w:val="en-GB"/>
        </w:rPr>
        <w:t>Y</w:t>
      </w:r>
      <w:r w:rsidRPr="00817268">
        <w:rPr>
          <w:vertAlign w:val="subscript"/>
          <w:lang w:val="en-GB"/>
        </w:rPr>
        <w:t>ij</w:t>
      </w:r>
      <w:proofErr w:type="spellEnd"/>
      <w:r w:rsidRPr="00817268">
        <w:rPr>
          <w:lang w:val="en-GB"/>
        </w:rPr>
        <w:t>=f(</w:t>
      </w:r>
      <w:proofErr w:type="spellStart"/>
      <w:r w:rsidRPr="00817268">
        <w:rPr>
          <w:lang w:val="en-GB"/>
        </w:rPr>
        <w:t>A</w:t>
      </w:r>
      <w:r w:rsidRPr="00817268">
        <w:rPr>
          <w:vertAlign w:val="subscript"/>
          <w:lang w:val="en-GB"/>
        </w:rPr>
        <w:t>ij</w:t>
      </w:r>
      <w:r w:rsidRPr="00817268">
        <w:rPr>
          <w:lang w:val="en-GB"/>
        </w:rPr>
        <w:t>,L</w:t>
      </w:r>
      <w:r w:rsidRPr="00817268">
        <w:rPr>
          <w:vertAlign w:val="subscript"/>
          <w:lang w:val="en-GB"/>
        </w:rPr>
        <w:t>ij</w:t>
      </w:r>
      <w:r w:rsidRPr="00817268">
        <w:rPr>
          <w:lang w:val="en-GB"/>
        </w:rPr>
        <w:t>,K</w:t>
      </w:r>
      <w:r w:rsidRPr="00817268">
        <w:rPr>
          <w:vertAlign w:val="subscript"/>
          <w:lang w:val="en-GB"/>
        </w:rPr>
        <w:t>ij</w:t>
      </w:r>
      <w:r w:rsidRPr="00817268">
        <w:rPr>
          <w:lang w:val="en-GB"/>
        </w:rPr>
        <w:t>,M</w:t>
      </w:r>
      <w:r w:rsidRPr="00817268">
        <w:rPr>
          <w:vertAlign w:val="subscript"/>
          <w:lang w:val="en-GB"/>
        </w:rPr>
        <w:t>ij</w:t>
      </w:r>
      <w:proofErr w:type="spellEnd"/>
      <w:r w:rsidRPr="00817268">
        <w:rPr>
          <w:lang w:val="en-GB"/>
        </w:rPr>
        <w:t>)</w:t>
      </w:r>
      <w:r w:rsidRPr="00817268">
        <w:rPr>
          <w:lang w:val="en-GB"/>
        </w:rPr>
        <w:tab/>
      </w:r>
    </w:p>
    <w:p w:rsidR="00817268" w:rsidRPr="00817268" w:rsidRDefault="00817268" w:rsidP="00817268">
      <w:pPr>
        <w:spacing w:before="120" w:after="120" w:line="360" w:lineRule="auto"/>
        <w:jc w:val="both"/>
        <w:rPr>
          <w:lang w:val="en-GB"/>
        </w:rPr>
      </w:pPr>
      <w:r w:rsidRPr="00817268">
        <w:rPr>
          <w:lang w:val="en-GB"/>
        </w:rPr>
        <w:t xml:space="preserve">An economy-wide aggregate production function gives GDP as a function of aggregate capital and </w:t>
      </w:r>
      <w:r w:rsidR="00FD6B8A">
        <w:rPr>
          <w:lang w:val="en-GB"/>
        </w:rPr>
        <w:t>labour</w:t>
      </w:r>
      <w:r w:rsidRPr="00817268">
        <w:rPr>
          <w:lang w:val="en-GB"/>
        </w:rPr>
        <w:t xml:space="preserve"> inputs, so that intermediate inputs – goods produced by one sector and sold to another – are excluded. The aggregate value-added function fo</w:t>
      </w:r>
      <w:r w:rsidR="00FD6B8A">
        <w:rPr>
          <w:lang w:val="en-GB"/>
        </w:rPr>
        <w:t xml:space="preserve">r </w:t>
      </w:r>
      <w:r w:rsidRPr="00817268">
        <w:rPr>
          <w:lang w:val="en-GB"/>
        </w:rPr>
        <w:t>city j is then</w:t>
      </w:r>
    </w:p>
    <w:p w:rsidR="00817268" w:rsidRPr="00817268" w:rsidRDefault="00817268" w:rsidP="00817268">
      <w:pPr>
        <w:spacing w:before="120" w:after="120" w:line="360" w:lineRule="auto"/>
        <w:jc w:val="both"/>
        <w:rPr>
          <w:lang w:val="en-GB"/>
        </w:rPr>
      </w:pPr>
      <w:r w:rsidRPr="00817268">
        <w:rPr>
          <w:lang w:val="en-GB"/>
        </w:rPr>
        <w:t>(2)</w:t>
      </w:r>
      <w:r w:rsidRPr="00817268">
        <w:rPr>
          <w:lang w:val="en-GB"/>
        </w:rPr>
        <w:tab/>
      </w:r>
      <w:r w:rsidRPr="00817268">
        <w:rPr>
          <w:lang w:val="en-GB"/>
        </w:rPr>
        <w:tab/>
      </w:r>
      <w:r w:rsidRPr="00817268">
        <w:rPr>
          <w:lang w:val="en-GB"/>
        </w:rPr>
        <w:tab/>
      </w:r>
      <w:r w:rsidRPr="00817268">
        <w:rPr>
          <w:lang w:val="en-GB"/>
        </w:rPr>
        <w:tab/>
      </w:r>
      <w:proofErr w:type="spellStart"/>
      <w:r w:rsidRPr="00817268">
        <w:rPr>
          <w:lang w:val="en-GB"/>
        </w:rPr>
        <w:t>V</w:t>
      </w:r>
      <w:r w:rsidRPr="00FD6B8A">
        <w:rPr>
          <w:vertAlign w:val="subscript"/>
          <w:lang w:val="en-GB"/>
        </w:rPr>
        <w:t>j</w:t>
      </w:r>
      <w:proofErr w:type="spellEnd"/>
      <w:r w:rsidRPr="00817268">
        <w:rPr>
          <w:lang w:val="en-GB"/>
        </w:rPr>
        <w:t>=g(</w:t>
      </w:r>
      <w:proofErr w:type="spellStart"/>
      <w:r w:rsidRPr="00817268">
        <w:rPr>
          <w:lang w:val="en-GB"/>
        </w:rPr>
        <w:t>A</w:t>
      </w:r>
      <w:r w:rsidRPr="00FD6B8A">
        <w:rPr>
          <w:vertAlign w:val="subscript"/>
          <w:lang w:val="en-GB"/>
        </w:rPr>
        <w:t>j</w:t>
      </w:r>
      <w:r w:rsidRPr="00817268">
        <w:rPr>
          <w:lang w:val="en-GB"/>
        </w:rPr>
        <w:t>,Lj,K</w:t>
      </w:r>
      <w:r w:rsidRPr="00FD6B8A">
        <w:rPr>
          <w:vertAlign w:val="subscript"/>
          <w:lang w:val="en-GB"/>
        </w:rPr>
        <w:t>j</w:t>
      </w:r>
      <w:proofErr w:type="spellEnd"/>
      <w:r w:rsidRPr="00817268">
        <w:rPr>
          <w:lang w:val="en-GB"/>
        </w:rPr>
        <w:t xml:space="preserve">)  </w:t>
      </w:r>
    </w:p>
    <w:p w:rsidR="00817268" w:rsidRPr="00817268" w:rsidRDefault="00817268" w:rsidP="00817268">
      <w:pPr>
        <w:spacing w:before="120" w:after="120" w:line="360" w:lineRule="auto"/>
        <w:jc w:val="both"/>
        <w:rPr>
          <w:lang w:val="en-GB"/>
        </w:rPr>
      </w:pPr>
      <w:r w:rsidRPr="00817268">
        <w:rPr>
          <w:lang w:val="en-GB"/>
        </w:rPr>
        <w:t xml:space="preserve">where V is real aggregate value-added, K is capital services, L is </w:t>
      </w:r>
      <w:r w:rsidR="00FD6B8A">
        <w:rPr>
          <w:lang w:val="en-GB"/>
        </w:rPr>
        <w:t>labour</w:t>
      </w:r>
      <w:r w:rsidRPr="00817268">
        <w:rPr>
          <w:lang w:val="en-GB"/>
        </w:rPr>
        <w:t xml:space="preserve"> input. </w:t>
      </w:r>
    </w:p>
    <w:p w:rsidR="00817268" w:rsidRPr="00817268" w:rsidRDefault="00817268" w:rsidP="00817268">
      <w:pPr>
        <w:spacing w:before="120" w:after="120" w:line="360" w:lineRule="auto"/>
        <w:jc w:val="both"/>
        <w:rPr>
          <w:lang w:val="en-GB"/>
        </w:rPr>
      </w:pPr>
      <w:r w:rsidRPr="00817268">
        <w:rPr>
          <w:lang w:val="en-GB"/>
        </w:rPr>
        <w:t xml:space="preserve">The former function is also used for specific sectors. </w:t>
      </w:r>
      <w:proofErr w:type="spellStart"/>
      <w:r w:rsidRPr="00817268">
        <w:rPr>
          <w:lang w:val="en-GB"/>
        </w:rPr>
        <w:t>Hulten</w:t>
      </w:r>
      <w:proofErr w:type="spellEnd"/>
      <w:r w:rsidRPr="00817268">
        <w:rPr>
          <w:lang w:val="en-GB"/>
        </w:rPr>
        <w:t xml:space="preserve"> and Schwab (1984) assume that technical change in (1) is value-added augmenting, and thus </w:t>
      </w:r>
      <w:proofErr w:type="spellStart"/>
      <w:r w:rsidRPr="00817268">
        <w:rPr>
          <w:lang w:val="en-GB"/>
        </w:rPr>
        <w:t>Y</w:t>
      </w:r>
      <w:r w:rsidRPr="00FD6B8A">
        <w:rPr>
          <w:vertAlign w:val="subscript"/>
          <w:lang w:val="en-GB"/>
        </w:rPr>
        <w:t>ij</w:t>
      </w:r>
      <w:proofErr w:type="spellEnd"/>
      <w:r w:rsidRPr="00817268">
        <w:rPr>
          <w:lang w:val="en-GB"/>
        </w:rPr>
        <w:t>=f(g(</w:t>
      </w:r>
      <w:proofErr w:type="spellStart"/>
      <w:r w:rsidRPr="00817268">
        <w:rPr>
          <w:lang w:val="en-GB"/>
        </w:rPr>
        <w:t>A</w:t>
      </w:r>
      <w:r w:rsidRPr="00FD6B8A">
        <w:rPr>
          <w:vertAlign w:val="subscript"/>
          <w:lang w:val="en-GB"/>
        </w:rPr>
        <w:t>ij</w:t>
      </w:r>
      <w:r w:rsidRPr="00817268">
        <w:rPr>
          <w:lang w:val="en-GB"/>
        </w:rPr>
        <w:t>,L</w:t>
      </w:r>
      <w:r w:rsidRPr="00FD6B8A">
        <w:rPr>
          <w:vertAlign w:val="subscript"/>
          <w:lang w:val="en-GB"/>
        </w:rPr>
        <w:t>ij</w:t>
      </w:r>
      <w:r w:rsidRPr="00817268">
        <w:rPr>
          <w:lang w:val="en-GB"/>
        </w:rPr>
        <w:t>,K</w:t>
      </w:r>
      <w:r w:rsidRPr="00FD6B8A">
        <w:rPr>
          <w:vertAlign w:val="subscript"/>
          <w:lang w:val="en-GB"/>
        </w:rPr>
        <w:t>ij</w:t>
      </w:r>
      <w:proofErr w:type="spellEnd"/>
      <w:r w:rsidRPr="00817268">
        <w:rPr>
          <w:lang w:val="en-GB"/>
        </w:rPr>
        <w:t>),</w:t>
      </w:r>
      <w:proofErr w:type="spellStart"/>
      <w:r w:rsidRPr="00817268">
        <w:rPr>
          <w:lang w:val="en-GB"/>
        </w:rPr>
        <w:t>M</w:t>
      </w:r>
      <w:r w:rsidRPr="00FD6B8A">
        <w:rPr>
          <w:vertAlign w:val="subscript"/>
          <w:lang w:val="en-GB"/>
        </w:rPr>
        <w:t>ij</w:t>
      </w:r>
      <w:proofErr w:type="spellEnd"/>
      <w:r w:rsidRPr="00817268">
        <w:rPr>
          <w:lang w:val="en-GB"/>
        </w:rPr>
        <w:t xml:space="preserve">). The </w:t>
      </w:r>
      <w:proofErr w:type="spellStart"/>
      <w:r w:rsidRPr="00817268">
        <w:rPr>
          <w:lang w:val="en-GB"/>
        </w:rPr>
        <w:t>sectoral</w:t>
      </w:r>
      <w:proofErr w:type="spellEnd"/>
      <w:r w:rsidRPr="00817268">
        <w:rPr>
          <w:lang w:val="en-GB"/>
        </w:rPr>
        <w:t xml:space="preserve"> value-added function takes the form</w:t>
      </w:r>
    </w:p>
    <w:p w:rsidR="00817268" w:rsidRPr="00817268" w:rsidRDefault="00817268" w:rsidP="00817268">
      <w:pPr>
        <w:spacing w:before="120" w:after="120" w:line="360" w:lineRule="auto"/>
        <w:jc w:val="both"/>
        <w:rPr>
          <w:lang w:val="en-GB"/>
        </w:rPr>
      </w:pPr>
      <w:r w:rsidRPr="00817268">
        <w:rPr>
          <w:lang w:val="en-GB"/>
        </w:rPr>
        <w:lastRenderedPageBreak/>
        <w:t>(3)</w:t>
      </w:r>
      <w:r w:rsidRPr="00817268">
        <w:rPr>
          <w:lang w:val="en-GB"/>
        </w:rPr>
        <w:tab/>
      </w:r>
      <w:r w:rsidRPr="00817268">
        <w:rPr>
          <w:lang w:val="en-GB"/>
        </w:rPr>
        <w:tab/>
      </w:r>
      <w:r w:rsidRPr="00817268">
        <w:rPr>
          <w:lang w:val="en-GB"/>
        </w:rPr>
        <w:tab/>
      </w:r>
      <w:r w:rsidRPr="00817268">
        <w:rPr>
          <w:lang w:val="en-GB"/>
        </w:rPr>
        <w:tab/>
      </w:r>
      <w:proofErr w:type="spellStart"/>
      <w:r w:rsidRPr="00817268">
        <w:rPr>
          <w:lang w:val="en-GB"/>
        </w:rPr>
        <w:t>V</w:t>
      </w:r>
      <w:r w:rsidRPr="00FD6B8A">
        <w:rPr>
          <w:vertAlign w:val="subscript"/>
          <w:lang w:val="en-GB"/>
        </w:rPr>
        <w:t>ij</w:t>
      </w:r>
      <w:proofErr w:type="spellEnd"/>
      <w:r w:rsidRPr="00817268">
        <w:rPr>
          <w:lang w:val="en-GB"/>
        </w:rPr>
        <w:t>=g(</w:t>
      </w:r>
      <w:proofErr w:type="spellStart"/>
      <w:r w:rsidRPr="00817268">
        <w:rPr>
          <w:lang w:val="en-GB"/>
        </w:rPr>
        <w:t>AV</w:t>
      </w:r>
      <w:r w:rsidRPr="00FD6B8A">
        <w:rPr>
          <w:vertAlign w:val="subscript"/>
          <w:lang w:val="en-GB"/>
        </w:rPr>
        <w:t>ij</w:t>
      </w:r>
      <w:r w:rsidRPr="00817268">
        <w:rPr>
          <w:lang w:val="en-GB"/>
        </w:rPr>
        <w:t>,L</w:t>
      </w:r>
      <w:r w:rsidRPr="00FD6B8A">
        <w:rPr>
          <w:vertAlign w:val="subscript"/>
          <w:lang w:val="en-GB"/>
        </w:rPr>
        <w:t>ij</w:t>
      </w:r>
      <w:r w:rsidRPr="00817268">
        <w:rPr>
          <w:lang w:val="en-GB"/>
        </w:rPr>
        <w:t>,K</w:t>
      </w:r>
      <w:r w:rsidRPr="00FD6B8A">
        <w:rPr>
          <w:vertAlign w:val="subscript"/>
          <w:lang w:val="en-GB"/>
        </w:rPr>
        <w:t>ij</w:t>
      </w:r>
      <w:proofErr w:type="spellEnd"/>
      <w:r w:rsidRPr="00817268">
        <w:rPr>
          <w:lang w:val="en-GB"/>
        </w:rPr>
        <w:t xml:space="preserve">) </w:t>
      </w:r>
    </w:p>
    <w:p w:rsidR="00B35A97" w:rsidRDefault="00817268" w:rsidP="00817268">
      <w:pPr>
        <w:spacing w:before="120" w:after="120" w:line="360" w:lineRule="auto"/>
        <w:jc w:val="both"/>
        <w:rPr>
          <w:lang w:val="en-GB"/>
        </w:rPr>
      </w:pPr>
      <w:r w:rsidRPr="00817268">
        <w:rPr>
          <w:lang w:val="en-GB"/>
        </w:rPr>
        <w:t>Equations (1) and (3) define industry-level productivity growth in terms of industry gross output or in terms of industry value-added. The gross production function (1) collects information about all conventional inputs. This represents an advantage over (3) the value-added function, at least for explicit production factors. The theoretical appeal of the gross production approach to TFP measurement in (2) favours TFP</w:t>
      </w:r>
      <w:r w:rsidRPr="00A6384A">
        <w:rPr>
          <w:vertAlign w:val="subscript"/>
          <w:lang w:val="en-GB"/>
        </w:rPr>
        <w:t>Y</w:t>
      </w:r>
      <w:r w:rsidRPr="00817268">
        <w:rPr>
          <w:lang w:val="en-GB"/>
        </w:rPr>
        <w:t xml:space="preserve"> over TFP</w:t>
      </w:r>
      <w:r w:rsidRPr="00A6384A">
        <w:rPr>
          <w:vertAlign w:val="subscript"/>
          <w:lang w:val="en-GB"/>
        </w:rPr>
        <w:t>VA</w:t>
      </w:r>
      <w:r w:rsidRPr="00817268">
        <w:rPr>
          <w:lang w:val="en-GB"/>
        </w:rPr>
        <w:t xml:space="preserve"> in (5). The theoretical superiority has an empirical counterpart in providing an explicit role for intermediate goods in allocating economic growth, and in identifying the sources of growth at the industry level. This provides a more detailed understanding of the forces driving aggregate trends. The above discussion is a mere nicety if TFP</w:t>
      </w:r>
      <w:r w:rsidRPr="00A6384A">
        <w:rPr>
          <w:vertAlign w:val="subscript"/>
          <w:lang w:val="en-GB"/>
        </w:rPr>
        <w:t>Y</w:t>
      </w:r>
      <w:r w:rsidRPr="00817268">
        <w:rPr>
          <w:lang w:val="en-GB"/>
        </w:rPr>
        <w:t xml:space="preserve"> and TFP</w:t>
      </w:r>
      <w:r w:rsidRPr="00A6384A">
        <w:rPr>
          <w:vertAlign w:val="subscript"/>
          <w:lang w:val="en-GB"/>
        </w:rPr>
        <w:t>VA</w:t>
      </w:r>
      <w:r w:rsidRPr="00817268">
        <w:rPr>
          <w:lang w:val="en-GB"/>
        </w:rPr>
        <w:t xml:space="preserve"> measures lead to similar figures for productivity growth, but the analysis is important because this is not the case. </w:t>
      </w:r>
    </w:p>
    <w:p w:rsidR="00817268" w:rsidRPr="00817268" w:rsidRDefault="00817268" w:rsidP="00817268">
      <w:pPr>
        <w:spacing w:before="120" w:after="120" w:line="360" w:lineRule="auto"/>
        <w:jc w:val="both"/>
        <w:rPr>
          <w:lang w:val="en-GB"/>
        </w:rPr>
      </w:pPr>
      <w:r w:rsidRPr="00817268">
        <w:rPr>
          <w:lang w:val="en-GB"/>
        </w:rPr>
        <w:t xml:space="preserve">In the agglomeration literature, as an example Rosenthal and Strange (2004), is usual to model the technology levels 'A' as multiplicative shifters explained by different </w:t>
      </w:r>
      <w:proofErr w:type="spellStart"/>
      <w:r w:rsidRPr="00817268">
        <w:rPr>
          <w:lang w:val="en-GB"/>
        </w:rPr>
        <w:t>spillovers</w:t>
      </w:r>
      <w:proofErr w:type="spellEnd"/>
      <w:r w:rsidRPr="00817268">
        <w:rPr>
          <w:lang w:val="en-GB"/>
        </w:rPr>
        <w:t>, starting at the firm level as 'micro-foundations' of agglomeration economies. Focusing on cities (or regions),  equation (1) can be written as</w:t>
      </w:r>
    </w:p>
    <w:p w:rsidR="00817268" w:rsidRPr="00817268" w:rsidRDefault="00817268" w:rsidP="00817268">
      <w:pPr>
        <w:spacing w:before="120" w:after="120" w:line="360" w:lineRule="auto"/>
        <w:jc w:val="both"/>
        <w:rPr>
          <w:lang w:val="en-GB"/>
        </w:rPr>
      </w:pPr>
      <w:r w:rsidRPr="00817268">
        <w:rPr>
          <w:lang w:val="en-GB"/>
        </w:rPr>
        <w:t>(4)</w:t>
      </w:r>
      <w:r w:rsidRPr="00817268">
        <w:rPr>
          <w:lang w:val="en-GB"/>
        </w:rPr>
        <w:tab/>
      </w:r>
      <w:r w:rsidRPr="00817268">
        <w:rPr>
          <w:lang w:val="en-GB"/>
        </w:rPr>
        <w:tab/>
      </w:r>
      <w:r w:rsidRPr="00817268">
        <w:rPr>
          <w:lang w:val="en-GB"/>
        </w:rPr>
        <w:tab/>
      </w:r>
      <w:r w:rsidRPr="00817268">
        <w:rPr>
          <w:lang w:val="en-GB"/>
        </w:rPr>
        <w:tab/>
      </w:r>
      <w:proofErr w:type="spellStart"/>
      <w:r w:rsidRPr="00817268">
        <w:rPr>
          <w:lang w:val="en-GB"/>
        </w:rPr>
        <w:t>Y</w:t>
      </w:r>
      <w:r w:rsidRPr="008E6040">
        <w:rPr>
          <w:vertAlign w:val="subscript"/>
          <w:lang w:val="en-GB"/>
        </w:rPr>
        <w:t>ij</w:t>
      </w:r>
      <w:proofErr w:type="spellEnd"/>
      <w:r w:rsidRPr="00817268">
        <w:rPr>
          <w:lang w:val="en-GB"/>
        </w:rPr>
        <w:t xml:space="preserve">= </w:t>
      </w:r>
      <w:proofErr w:type="spellStart"/>
      <w:r w:rsidRPr="00817268">
        <w:rPr>
          <w:lang w:val="en-GB"/>
        </w:rPr>
        <w:t>A</w:t>
      </w:r>
      <w:r w:rsidRPr="008E6040">
        <w:rPr>
          <w:vertAlign w:val="subscript"/>
          <w:lang w:val="en-GB"/>
        </w:rPr>
        <w:t>ij</w:t>
      </w:r>
      <w:proofErr w:type="spellEnd"/>
      <w:r w:rsidRPr="00817268">
        <w:rPr>
          <w:lang w:val="en-GB"/>
        </w:rPr>
        <w:t>(X</w:t>
      </w:r>
      <w:r w:rsidRPr="008E6040">
        <w:rPr>
          <w:vertAlign w:val="subscript"/>
          <w:lang w:val="en-GB"/>
        </w:rPr>
        <w:t>-</w:t>
      </w:r>
      <w:proofErr w:type="spellStart"/>
      <w:r w:rsidRPr="008E6040">
        <w:rPr>
          <w:vertAlign w:val="subscript"/>
          <w:lang w:val="en-GB"/>
        </w:rPr>
        <w:t>ij</w:t>
      </w:r>
      <w:r w:rsidRPr="00817268">
        <w:rPr>
          <w:lang w:val="en-GB"/>
        </w:rPr>
        <w:t>,G</w:t>
      </w:r>
      <w:r w:rsidRPr="008E6040">
        <w:rPr>
          <w:vertAlign w:val="subscript"/>
          <w:lang w:val="en-GB"/>
        </w:rPr>
        <w:t>j</w:t>
      </w:r>
      <w:r w:rsidRPr="00817268">
        <w:rPr>
          <w:lang w:val="en-GB"/>
        </w:rPr>
        <w:t>,S</w:t>
      </w:r>
      <w:r w:rsidRPr="008E6040">
        <w:rPr>
          <w:vertAlign w:val="subscript"/>
          <w:lang w:val="en-GB"/>
        </w:rPr>
        <w:t>i</w:t>
      </w:r>
      <w:proofErr w:type="spellEnd"/>
      <w:r w:rsidRPr="00817268">
        <w:rPr>
          <w:lang w:val="en-GB"/>
        </w:rPr>
        <w:t>) f(</w:t>
      </w:r>
      <w:proofErr w:type="spellStart"/>
      <w:r w:rsidRPr="00817268">
        <w:rPr>
          <w:lang w:val="en-GB"/>
        </w:rPr>
        <w:t>L</w:t>
      </w:r>
      <w:r w:rsidRPr="008E6040">
        <w:rPr>
          <w:vertAlign w:val="subscript"/>
          <w:lang w:val="en-GB"/>
        </w:rPr>
        <w:t>ij</w:t>
      </w:r>
      <w:r w:rsidRPr="00817268">
        <w:rPr>
          <w:lang w:val="en-GB"/>
        </w:rPr>
        <w:t>,K</w:t>
      </w:r>
      <w:r w:rsidRPr="008E6040">
        <w:rPr>
          <w:vertAlign w:val="subscript"/>
          <w:lang w:val="en-GB"/>
        </w:rPr>
        <w:t>ij</w:t>
      </w:r>
      <w:r w:rsidRPr="00817268">
        <w:rPr>
          <w:lang w:val="en-GB"/>
        </w:rPr>
        <w:t>,M</w:t>
      </w:r>
      <w:r w:rsidRPr="008E6040">
        <w:rPr>
          <w:vertAlign w:val="subscript"/>
          <w:lang w:val="en-GB"/>
        </w:rPr>
        <w:t>ij</w:t>
      </w:r>
      <w:proofErr w:type="spellEnd"/>
      <w:r w:rsidRPr="00817268">
        <w:rPr>
          <w:lang w:val="en-GB"/>
        </w:rPr>
        <w:t>)</w:t>
      </w:r>
      <w:r w:rsidRPr="00817268">
        <w:rPr>
          <w:lang w:val="en-GB"/>
        </w:rPr>
        <w:tab/>
      </w:r>
    </w:p>
    <w:p w:rsidR="00817268" w:rsidRPr="00817268" w:rsidRDefault="00817268" w:rsidP="00817268">
      <w:pPr>
        <w:spacing w:before="120" w:after="120" w:line="360" w:lineRule="auto"/>
        <w:jc w:val="both"/>
        <w:rPr>
          <w:lang w:val="en-GB"/>
        </w:rPr>
      </w:pPr>
      <w:r w:rsidRPr="00817268">
        <w:rPr>
          <w:lang w:val="en-GB"/>
        </w:rPr>
        <w:t>where X</w:t>
      </w:r>
      <w:r w:rsidRPr="008E6040">
        <w:rPr>
          <w:vertAlign w:val="subscript"/>
          <w:lang w:val="en-GB"/>
        </w:rPr>
        <w:t>-</w:t>
      </w:r>
      <w:proofErr w:type="spellStart"/>
      <w:r w:rsidRPr="008E6040">
        <w:rPr>
          <w:vertAlign w:val="subscript"/>
          <w:lang w:val="en-GB"/>
        </w:rPr>
        <w:t>ij</w:t>
      </w:r>
      <w:proofErr w:type="spellEnd"/>
      <w:r w:rsidRPr="00817268">
        <w:rPr>
          <w:lang w:val="en-GB"/>
        </w:rPr>
        <w:t xml:space="preserve"> are </w:t>
      </w:r>
      <w:proofErr w:type="spellStart"/>
      <w:r w:rsidRPr="00817268">
        <w:rPr>
          <w:lang w:val="en-GB"/>
        </w:rPr>
        <w:t>spillovers</w:t>
      </w:r>
      <w:proofErr w:type="spellEnd"/>
      <w:r w:rsidRPr="00817268">
        <w:rPr>
          <w:lang w:val="en-GB"/>
        </w:rPr>
        <w:t xml:space="preserve"> from other cities or sectors, </w:t>
      </w:r>
      <w:proofErr w:type="spellStart"/>
      <w:r w:rsidRPr="00817268">
        <w:rPr>
          <w:lang w:val="en-GB"/>
        </w:rPr>
        <w:t>G</w:t>
      </w:r>
      <w:r w:rsidRPr="008E6040">
        <w:rPr>
          <w:vertAlign w:val="subscript"/>
          <w:lang w:val="en-GB"/>
        </w:rPr>
        <w:t>j</w:t>
      </w:r>
      <w:proofErr w:type="spellEnd"/>
      <w:r w:rsidRPr="00817268">
        <w:rPr>
          <w:lang w:val="en-GB"/>
        </w:rPr>
        <w:t xml:space="preserve"> are characteristics of city j, and S</w:t>
      </w:r>
      <w:r w:rsidRPr="008E6040">
        <w:rPr>
          <w:vertAlign w:val="subscript"/>
          <w:lang w:val="en-GB"/>
        </w:rPr>
        <w:t>i</w:t>
      </w:r>
      <w:r w:rsidRPr="00817268">
        <w:rPr>
          <w:lang w:val="en-GB"/>
        </w:rPr>
        <w:t xml:space="preserve"> are sector </w:t>
      </w:r>
      <w:proofErr w:type="spellStart"/>
      <w:r w:rsidRPr="00817268">
        <w:rPr>
          <w:lang w:val="en-GB"/>
        </w:rPr>
        <w:t>i</w:t>
      </w:r>
      <w:proofErr w:type="spellEnd"/>
      <w:r w:rsidRPr="00817268">
        <w:rPr>
          <w:lang w:val="en-GB"/>
        </w:rPr>
        <w:t xml:space="preserve"> variables .</w:t>
      </w:r>
    </w:p>
    <w:p w:rsidR="00817268" w:rsidRPr="00817268" w:rsidRDefault="00817268" w:rsidP="00817268">
      <w:pPr>
        <w:spacing w:before="120" w:after="120" w:line="360" w:lineRule="auto"/>
        <w:jc w:val="both"/>
        <w:rPr>
          <w:lang w:val="en-GB"/>
        </w:rPr>
      </w:pPr>
      <w:r w:rsidRPr="00817268">
        <w:rPr>
          <w:lang w:val="en-GB"/>
        </w:rPr>
        <w:t>Equation (3) can be modelled in a similar way</w:t>
      </w:r>
    </w:p>
    <w:p w:rsidR="00817268" w:rsidRPr="00817268" w:rsidRDefault="00817268" w:rsidP="00817268">
      <w:pPr>
        <w:spacing w:before="120" w:after="120" w:line="360" w:lineRule="auto"/>
        <w:jc w:val="both"/>
        <w:rPr>
          <w:lang w:val="en-GB"/>
        </w:rPr>
      </w:pPr>
      <w:r w:rsidRPr="00817268">
        <w:rPr>
          <w:lang w:val="en-GB"/>
        </w:rPr>
        <w:t xml:space="preserve"> (5)</w:t>
      </w:r>
      <w:r w:rsidRPr="00817268">
        <w:rPr>
          <w:lang w:val="en-GB"/>
        </w:rPr>
        <w:tab/>
      </w:r>
      <w:r w:rsidRPr="00817268">
        <w:rPr>
          <w:lang w:val="en-GB"/>
        </w:rPr>
        <w:tab/>
      </w:r>
      <w:r w:rsidRPr="00817268">
        <w:rPr>
          <w:lang w:val="en-GB"/>
        </w:rPr>
        <w:tab/>
      </w:r>
      <w:proofErr w:type="spellStart"/>
      <w:r w:rsidRPr="00817268">
        <w:rPr>
          <w:lang w:val="en-GB"/>
        </w:rPr>
        <w:t>V</w:t>
      </w:r>
      <w:r w:rsidRPr="008E6040">
        <w:rPr>
          <w:vertAlign w:val="subscript"/>
          <w:lang w:val="en-GB"/>
        </w:rPr>
        <w:t>ij</w:t>
      </w:r>
      <w:proofErr w:type="spellEnd"/>
      <w:r w:rsidRPr="00817268">
        <w:rPr>
          <w:lang w:val="en-GB"/>
        </w:rPr>
        <w:t xml:space="preserve"> = </w:t>
      </w:r>
      <w:proofErr w:type="spellStart"/>
      <w:r w:rsidRPr="00817268">
        <w:rPr>
          <w:lang w:val="en-GB"/>
        </w:rPr>
        <w:t>AV</w:t>
      </w:r>
      <w:r w:rsidRPr="008E6040">
        <w:rPr>
          <w:vertAlign w:val="subscript"/>
          <w:lang w:val="en-GB"/>
        </w:rPr>
        <w:t>ii</w:t>
      </w:r>
      <w:proofErr w:type="spellEnd"/>
      <w:r w:rsidRPr="00817268">
        <w:rPr>
          <w:lang w:val="en-GB"/>
        </w:rPr>
        <w:t>(X</w:t>
      </w:r>
      <w:r w:rsidRPr="008E6040">
        <w:rPr>
          <w:vertAlign w:val="subscript"/>
          <w:lang w:val="en-GB"/>
        </w:rPr>
        <w:t>-</w:t>
      </w:r>
      <w:proofErr w:type="spellStart"/>
      <w:r w:rsidRPr="008E6040">
        <w:rPr>
          <w:vertAlign w:val="subscript"/>
          <w:lang w:val="en-GB"/>
        </w:rPr>
        <w:t>ij</w:t>
      </w:r>
      <w:r w:rsidRPr="00817268">
        <w:rPr>
          <w:lang w:val="en-GB"/>
        </w:rPr>
        <w:t>,G</w:t>
      </w:r>
      <w:r w:rsidRPr="008E6040">
        <w:rPr>
          <w:vertAlign w:val="subscript"/>
          <w:lang w:val="en-GB"/>
        </w:rPr>
        <w:t>j</w:t>
      </w:r>
      <w:r w:rsidRPr="00817268">
        <w:rPr>
          <w:lang w:val="en-GB"/>
        </w:rPr>
        <w:t>,S</w:t>
      </w:r>
      <w:r w:rsidRPr="008E6040">
        <w:rPr>
          <w:vertAlign w:val="subscript"/>
          <w:lang w:val="en-GB"/>
        </w:rPr>
        <w:t>i</w:t>
      </w:r>
      <w:proofErr w:type="spellEnd"/>
      <w:r w:rsidRPr="00817268">
        <w:rPr>
          <w:lang w:val="en-GB"/>
        </w:rPr>
        <w:t xml:space="preserve">) </w:t>
      </w:r>
      <w:proofErr w:type="spellStart"/>
      <w:r w:rsidRPr="00817268">
        <w:rPr>
          <w:lang w:val="en-GB"/>
        </w:rPr>
        <w:t>g</w:t>
      </w:r>
      <w:r w:rsidRPr="008E6040">
        <w:rPr>
          <w:vertAlign w:val="subscript"/>
          <w:lang w:val="en-GB"/>
        </w:rPr>
        <w:t>i</w:t>
      </w:r>
      <w:proofErr w:type="spellEnd"/>
      <w:r w:rsidRPr="00817268">
        <w:rPr>
          <w:lang w:val="en-GB"/>
        </w:rPr>
        <w:t>(</w:t>
      </w:r>
      <w:proofErr w:type="spellStart"/>
      <w:r w:rsidRPr="00817268">
        <w:rPr>
          <w:lang w:val="en-GB"/>
        </w:rPr>
        <w:t>L</w:t>
      </w:r>
      <w:r w:rsidRPr="008E6040">
        <w:rPr>
          <w:vertAlign w:val="subscript"/>
          <w:lang w:val="en-GB"/>
        </w:rPr>
        <w:t>i</w:t>
      </w:r>
      <w:r w:rsidRPr="00817268">
        <w:rPr>
          <w:lang w:val="en-GB"/>
        </w:rPr>
        <w:t>,K</w:t>
      </w:r>
      <w:r w:rsidRPr="008E6040">
        <w:rPr>
          <w:vertAlign w:val="subscript"/>
          <w:lang w:val="en-GB"/>
        </w:rPr>
        <w:t>i</w:t>
      </w:r>
      <w:proofErr w:type="spellEnd"/>
      <w:r w:rsidRPr="00817268">
        <w:rPr>
          <w:lang w:val="en-GB"/>
        </w:rPr>
        <w:t xml:space="preserve">) </w:t>
      </w:r>
    </w:p>
    <w:p w:rsidR="00817268" w:rsidRPr="00817268" w:rsidRDefault="00817268" w:rsidP="00817268">
      <w:pPr>
        <w:spacing w:before="120" w:after="120" w:line="360" w:lineRule="auto"/>
        <w:jc w:val="both"/>
        <w:rPr>
          <w:lang w:val="en-GB"/>
        </w:rPr>
      </w:pPr>
      <w:r w:rsidRPr="00817268">
        <w:rPr>
          <w:lang w:val="en-GB"/>
        </w:rPr>
        <w:t xml:space="preserve">On the other hand, equation (2) is </w:t>
      </w:r>
    </w:p>
    <w:p w:rsidR="00817268" w:rsidRPr="00817268" w:rsidRDefault="00817268" w:rsidP="00817268">
      <w:pPr>
        <w:spacing w:before="120" w:after="120" w:line="360" w:lineRule="auto"/>
        <w:jc w:val="both"/>
        <w:rPr>
          <w:lang w:val="en-GB"/>
        </w:rPr>
      </w:pPr>
      <w:r w:rsidRPr="00817268">
        <w:rPr>
          <w:lang w:val="en-GB"/>
        </w:rPr>
        <w:t>(6)</w:t>
      </w:r>
      <w:r w:rsidRPr="00817268">
        <w:rPr>
          <w:lang w:val="en-GB"/>
        </w:rPr>
        <w:tab/>
      </w:r>
      <w:r w:rsidRPr="00817268">
        <w:rPr>
          <w:lang w:val="en-GB"/>
        </w:rPr>
        <w:tab/>
      </w:r>
      <w:r w:rsidRPr="00817268">
        <w:rPr>
          <w:lang w:val="en-GB"/>
        </w:rPr>
        <w:tab/>
      </w:r>
      <w:r w:rsidRPr="00817268">
        <w:rPr>
          <w:lang w:val="en-GB"/>
        </w:rPr>
        <w:tab/>
      </w:r>
      <w:proofErr w:type="spellStart"/>
      <w:r w:rsidRPr="00817268">
        <w:rPr>
          <w:lang w:val="en-GB"/>
        </w:rPr>
        <w:t>V</w:t>
      </w:r>
      <w:r w:rsidRPr="008E6040">
        <w:rPr>
          <w:vertAlign w:val="subscript"/>
          <w:lang w:val="en-GB"/>
        </w:rPr>
        <w:t>j</w:t>
      </w:r>
      <w:proofErr w:type="spellEnd"/>
      <w:r w:rsidRPr="00817268">
        <w:rPr>
          <w:lang w:val="en-GB"/>
        </w:rPr>
        <w:t xml:space="preserve">= </w:t>
      </w:r>
      <w:proofErr w:type="spellStart"/>
      <w:r w:rsidRPr="00817268">
        <w:rPr>
          <w:lang w:val="en-GB"/>
        </w:rPr>
        <w:t>A</w:t>
      </w:r>
      <w:r w:rsidRPr="008E6040">
        <w:rPr>
          <w:vertAlign w:val="subscript"/>
          <w:lang w:val="en-GB"/>
        </w:rPr>
        <w:t>j</w:t>
      </w:r>
      <w:proofErr w:type="spellEnd"/>
      <w:r w:rsidRPr="00817268">
        <w:rPr>
          <w:lang w:val="en-GB"/>
        </w:rPr>
        <w:t>(X</w:t>
      </w:r>
      <w:r w:rsidRPr="008E6040">
        <w:rPr>
          <w:vertAlign w:val="subscript"/>
          <w:lang w:val="en-GB"/>
        </w:rPr>
        <w:t>-</w:t>
      </w:r>
      <w:proofErr w:type="spellStart"/>
      <w:r w:rsidRPr="008E6040">
        <w:rPr>
          <w:vertAlign w:val="subscript"/>
          <w:lang w:val="en-GB"/>
        </w:rPr>
        <w:t>j</w:t>
      </w:r>
      <w:r w:rsidRPr="00817268">
        <w:rPr>
          <w:lang w:val="en-GB"/>
        </w:rPr>
        <w:t>,G</w:t>
      </w:r>
      <w:r w:rsidRPr="008E6040">
        <w:rPr>
          <w:vertAlign w:val="subscript"/>
          <w:lang w:val="en-GB"/>
        </w:rPr>
        <w:t>j</w:t>
      </w:r>
      <w:proofErr w:type="spellEnd"/>
      <w:r w:rsidRPr="00817268">
        <w:rPr>
          <w:lang w:val="en-GB"/>
        </w:rPr>
        <w:t>)g(</w:t>
      </w:r>
      <w:proofErr w:type="spellStart"/>
      <w:r w:rsidRPr="00817268">
        <w:rPr>
          <w:lang w:val="en-GB"/>
        </w:rPr>
        <w:t>L</w:t>
      </w:r>
      <w:r w:rsidRPr="008E6040">
        <w:rPr>
          <w:vertAlign w:val="subscript"/>
          <w:lang w:val="en-GB"/>
        </w:rPr>
        <w:t>j</w:t>
      </w:r>
      <w:r w:rsidRPr="00817268">
        <w:rPr>
          <w:lang w:val="en-GB"/>
        </w:rPr>
        <w:t>,K</w:t>
      </w:r>
      <w:r w:rsidRPr="008E6040">
        <w:rPr>
          <w:vertAlign w:val="subscript"/>
          <w:lang w:val="en-GB"/>
        </w:rPr>
        <w:t>j</w:t>
      </w:r>
      <w:proofErr w:type="spellEnd"/>
      <w:r w:rsidRPr="00817268">
        <w:rPr>
          <w:lang w:val="en-GB"/>
        </w:rPr>
        <w:t xml:space="preserve">)  </w:t>
      </w:r>
    </w:p>
    <w:p w:rsidR="00817268" w:rsidRPr="00817268" w:rsidRDefault="00817268" w:rsidP="00817268">
      <w:pPr>
        <w:spacing w:before="120" w:after="120" w:line="360" w:lineRule="auto"/>
        <w:jc w:val="both"/>
        <w:rPr>
          <w:lang w:val="en-GB"/>
        </w:rPr>
      </w:pPr>
      <w:r w:rsidRPr="00817268">
        <w:rPr>
          <w:lang w:val="en-GB"/>
        </w:rPr>
        <w:t xml:space="preserve">where sector variables are cancelled (although the industry composition of city j can contribute via </w:t>
      </w:r>
      <w:proofErr w:type="spellStart"/>
      <w:r w:rsidRPr="00817268">
        <w:rPr>
          <w:lang w:val="en-GB"/>
        </w:rPr>
        <w:t>G</w:t>
      </w:r>
      <w:r w:rsidRPr="008E6040">
        <w:rPr>
          <w:vertAlign w:val="subscript"/>
          <w:lang w:val="en-GB"/>
        </w:rPr>
        <w:t>j</w:t>
      </w:r>
      <w:proofErr w:type="spellEnd"/>
      <w:r w:rsidRPr="00817268">
        <w:rPr>
          <w:lang w:val="en-GB"/>
        </w:rPr>
        <w:t>).</w:t>
      </w:r>
    </w:p>
    <w:p w:rsidR="00817268" w:rsidRPr="00817268" w:rsidRDefault="00817268" w:rsidP="00817268">
      <w:pPr>
        <w:spacing w:before="120" w:after="120" w:line="360" w:lineRule="auto"/>
        <w:jc w:val="both"/>
        <w:rPr>
          <w:lang w:val="en-GB"/>
        </w:rPr>
      </w:pPr>
      <w:r w:rsidRPr="00817268">
        <w:rPr>
          <w:lang w:val="en-GB"/>
        </w:rPr>
        <w:t xml:space="preserve">As examples, </w:t>
      </w:r>
      <w:proofErr w:type="spellStart"/>
      <w:r w:rsidRPr="00817268">
        <w:rPr>
          <w:lang w:val="en-GB"/>
        </w:rPr>
        <w:t>Segarra</w:t>
      </w:r>
      <w:proofErr w:type="spellEnd"/>
      <w:r w:rsidRPr="00817268">
        <w:rPr>
          <w:lang w:val="en-GB"/>
        </w:rPr>
        <w:t xml:space="preserve"> and </w:t>
      </w:r>
      <w:proofErr w:type="spellStart"/>
      <w:r w:rsidRPr="00817268">
        <w:rPr>
          <w:lang w:val="en-GB"/>
        </w:rPr>
        <w:t>Arcarons</w:t>
      </w:r>
      <w:proofErr w:type="spellEnd"/>
      <w:r w:rsidRPr="00817268">
        <w:rPr>
          <w:lang w:val="en-GB"/>
        </w:rPr>
        <w:t xml:space="preserve"> (1999), </w:t>
      </w:r>
      <w:proofErr w:type="spellStart"/>
      <w:r w:rsidRPr="00817268">
        <w:rPr>
          <w:lang w:val="en-GB"/>
        </w:rPr>
        <w:t>Pedraja</w:t>
      </w:r>
      <w:proofErr w:type="spellEnd"/>
      <w:r w:rsidRPr="00817268">
        <w:rPr>
          <w:lang w:val="en-GB"/>
        </w:rPr>
        <w:t xml:space="preserve"> et al. (1999), </w:t>
      </w:r>
      <w:proofErr w:type="spellStart"/>
      <w:r w:rsidRPr="00817268">
        <w:rPr>
          <w:lang w:val="en-GB"/>
        </w:rPr>
        <w:t>Maudos</w:t>
      </w:r>
      <w:proofErr w:type="spellEnd"/>
      <w:r w:rsidRPr="00817268">
        <w:rPr>
          <w:lang w:val="en-GB"/>
        </w:rPr>
        <w:t xml:space="preserve"> et al. (2000), Delgado and Alvarez (2004) use the value-added approach to compare manufacturing or other sector productivity in the Spanish regions, using different techniques as growth accounting,  stochastic frontiers and DEA-</w:t>
      </w:r>
      <w:proofErr w:type="spellStart"/>
      <w:r w:rsidRPr="00817268">
        <w:rPr>
          <w:lang w:val="en-GB"/>
        </w:rPr>
        <w:t>Malmquist</w:t>
      </w:r>
      <w:proofErr w:type="spellEnd"/>
      <w:r w:rsidRPr="00817268">
        <w:rPr>
          <w:lang w:val="en-GB"/>
        </w:rPr>
        <w:t xml:space="preserve">, in the framework of equation (5). </w:t>
      </w:r>
      <w:r w:rsidRPr="00817268">
        <w:rPr>
          <w:lang w:val="en-GB"/>
        </w:rPr>
        <w:lastRenderedPageBreak/>
        <w:t>On the contrary, Alvarez et al. (2006) use value added with Spanish provinces, but in an aggregate analysis, as in equation (6).</w:t>
      </w:r>
    </w:p>
    <w:p w:rsidR="008E6040" w:rsidRDefault="00817268" w:rsidP="00817268">
      <w:pPr>
        <w:spacing w:before="120" w:after="120" w:line="360" w:lineRule="auto"/>
        <w:jc w:val="both"/>
        <w:rPr>
          <w:lang w:val="en-GB"/>
        </w:rPr>
      </w:pPr>
      <w:r w:rsidRPr="00817268">
        <w:rPr>
          <w:lang w:val="en-GB"/>
        </w:rPr>
        <w:t>Cohen and Morrison Paul (2009) emphasize the production approach to agglomeration as the analysis of the causes modelled as '</w:t>
      </w:r>
      <w:proofErr w:type="spellStart"/>
      <w:r w:rsidRPr="00817268">
        <w:rPr>
          <w:lang w:val="en-GB"/>
        </w:rPr>
        <w:t>A</w:t>
      </w:r>
      <w:r w:rsidRPr="00A6384A">
        <w:rPr>
          <w:vertAlign w:val="subscript"/>
          <w:lang w:val="en-GB"/>
        </w:rPr>
        <w:t>ij</w:t>
      </w:r>
      <w:proofErr w:type="spellEnd"/>
      <w:r w:rsidRPr="00817268">
        <w:rPr>
          <w:lang w:val="en-GB"/>
        </w:rPr>
        <w:t xml:space="preserve">', which shift the frontier using production or cost models.  The same paper examines the consequences of the multiplicative nature of the </w:t>
      </w:r>
      <w:proofErr w:type="spellStart"/>
      <w:r w:rsidRPr="00817268">
        <w:rPr>
          <w:lang w:val="en-GB"/>
        </w:rPr>
        <w:t>Aij</w:t>
      </w:r>
      <w:proofErr w:type="spellEnd"/>
      <w:r w:rsidRPr="00817268">
        <w:rPr>
          <w:lang w:val="en-GB"/>
        </w:rPr>
        <w:t xml:space="preserve">, imposing neutrality of the productivity effect, in equations of the types (4) to (6). </w:t>
      </w:r>
      <w:proofErr w:type="spellStart"/>
      <w:r w:rsidR="00A6384A">
        <w:rPr>
          <w:lang w:val="en-GB"/>
        </w:rPr>
        <w:t>Otsuka</w:t>
      </w:r>
      <w:proofErr w:type="spellEnd"/>
      <w:r w:rsidR="00A6384A">
        <w:rPr>
          <w:lang w:val="en-GB"/>
        </w:rPr>
        <w:t xml:space="preserve"> and </w:t>
      </w:r>
      <w:proofErr w:type="spellStart"/>
      <w:r w:rsidR="00A6384A">
        <w:rPr>
          <w:lang w:val="en-GB"/>
        </w:rPr>
        <w:t>Goto</w:t>
      </w:r>
      <w:proofErr w:type="spellEnd"/>
      <w:r w:rsidR="00A6384A">
        <w:rPr>
          <w:lang w:val="en-GB"/>
        </w:rPr>
        <w:t xml:space="preserve"> (2015) and </w:t>
      </w:r>
      <w:proofErr w:type="spellStart"/>
      <w:r w:rsidR="00A6384A">
        <w:rPr>
          <w:lang w:val="en-GB"/>
        </w:rPr>
        <w:t>Otsuka</w:t>
      </w:r>
      <w:proofErr w:type="spellEnd"/>
      <w:r w:rsidR="00A6384A">
        <w:rPr>
          <w:lang w:val="en-GB"/>
        </w:rPr>
        <w:t xml:space="preserve"> (2017) focus on the same issues naming it the Solow residual approach, comprising the time variation of </w:t>
      </w:r>
      <w:r w:rsidR="00A6384A" w:rsidRPr="00817268">
        <w:rPr>
          <w:lang w:val="en-GB"/>
        </w:rPr>
        <w:t>'</w:t>
      </w:r>
      <w:proofErr w:type="spellStart"/>
      <w:r w:rsidR="00A6384A" w:rsidRPr="00817268">
        <w:rPr>
          <w:lang w:val="en-GB"/>
        </w:rPr>
        <w:t>A</w:t>
      </w:r>
      <w:r w:rsidR="00A6384A" w:rsidRPr="00A6384A">
        <w:rPr>
          <w:vertAlign w:val="subscript"/>
          <w:lang w:val="en-GB"/>
        </w:rPr>
        <w:t>ij</w:t>
      </w:r>
      <w:proofErr w:type="spellEnd"/>
      <w:r w:rsidR="00A6384A" w:rsidRPr="00817268">
        <w:rPr>
          <w:lang w:val="en-GB"/>
        </w:rPr>
        <w:t>'</w:t>
      </w:r>
      <w:r w:rsidR="00A6384A">
        <w:rPr>
          <w:lang w:val="en-GB"/>
        </w:rPr>
        <w:t xml:space="preserve"> and a scale effect.</w:t>
      </w:r>
      <w:r w:rsidR="008E6040">
        <w:rPr>
          <w:lang w:val="en-GB"/>
        </w:rPr>
        <w:t xml:space="preserve"> </w:t>
      </w:r>
    </w:p>
    <w:p w:rsidR="00817268" w:rsidRPr="00817268" w:rsidRDefault="00A6384A" w:rsidP="00817268">
      <w:pPr>
        <w:spacing w:before="120" w:after="120" w:line="360" w:lineRule="auto"/>
        <w:jc w:val="both"/>
        <w:rPr>
          <w:lang w:val="en-GB"/>
        </w:rPr>
      </w:pPr>
      <w:r>
        <w:rPr>
          <w:lang w:val="en-GB"/>
        </w:rPr>
        <w:t>A simpler approach considering internal constant returns to scale and</w:t>
      </w:r>
      <w:r w:rsidR="00817268" w:rsidRPr="00817268">
        <w:rPr>
          <w:lang w:val="en-GB"/>
        </w:rPr>
        <w:t xml:space="preserve"> a simple accounting factor relating </w:t>
      </w:r>
      <w:r>
        <w:rPr>
          <w:lang w:val="en-GB"/>
        </w:rPr>
        <w:t xml:space="preserve">equations (1) and (3), or </w:t>
      </w:r>
      <w:r w:rsidR="00817268" w:rsidRPr="00817268">
        <w:rPr>
          <w:lang w:val="en-GB"/>
        </w:rPr>
        <w:t xml:space="preserve">equations (4) and (5), has been overlooked in the literature: the </w:t>
      </w:r>
      <w:proofErr w:type="spellStart"/>
      <w:r w:rsidR="00817268" w:rsidRPr="00817268">
        <w:rPr>
          <w:lang w:val="en-GB"/>
        </w:rPr>
        <w:t>Domar</w:t>
      </w:r>
      <w:proofErr w:type="spellEnd"/>
      <w:r w:rsidR="00817268" w:rsidRPr="00817268">
        <w:rPr>
          <w:lang w:val="en-GB"/>
        </w:rPr>
        <w:t xml:space="preserve"> </w:t>
      </w:r>
      <w:r>
        <w:rPr>
          <w:lang w:val="en-GB"/>
        </w:rPr>
        <w:t xml:space="preserve">(1961) </w:t>
      </w:r>
      <w:r w:rsidR="00817268" w:rsidRPr="00817268">
        <w:rPr>
          <w:lang w:val="en-GB"/>
        </w:rPr>
        <w:t>factor.</w:t>
      </w:r>
    </w:p>
    <w:p w:rsidR="00817268" w:rsidRPr="00817268" w:rsidRDefault="00817268" w:rsidP="00817268">
      <w:pPr>
        <w:spacing w:before="120" w:after="120" w:line="360" w:lineRule="auto"/>
        <w:jc w:val="both"/>
        <w:rPr>
          <w:lang w:val="en-GB"/>
        </w:rPr>
      </w:pPr>
      <w:r w:rsidRPr="00817268">
        <w:rPr>
          <w:lang w:val="en-GB"/>
        </w:rPr>
        <w:t>When total cost equals total revenue (constant returns to scale) and the proper VA deflator (</w:t>
      </w:r>
      <w:proofErr w:type="spellStart"/>
      <w:r w:rsidRPr="00817268">
        <w:rPr>
          <w:lang w:val="en-GB"/>
        </w:rPr>
        <w:t>Divisia</w:t>
      </w:r>
      <w:proofErr w:type="spellEnd"/>
      <w:r w:rsidRPr="00817268">
        <w:rPr>
          <w:lang w:val="en-GB"/>
        </w:rPr>
        <w:t xml:space="preserve">) is used, several authors, and summarized in Balk (2009), have shown that </w:t>
      </w:r>
    </w:p>
    <w:p w:rsidR="00817268" w:rsidRPr="00817268" w:rsidRDefault="00817268" w:rsidP="00817268">
      <w:pPr>
        <w:spacing w:before="120" w:after="120" w:line="360" w:lineRule="auto"/>
        <w:jc w:val="both"/>
        <w:rPr>
          <w:lang w:val="en-GB"/>
        </w:rPr>
      </w:pPr>
      <w:r w:rsidRPr="00817268">
        <w:rPr>
          <w:lang w:val="en-GB"/>
        </w:rPr>
        <w:t>(7)</w:t>
      </w:r>
      <w:r w:rsidRPr="00817268">
        <w:rPr>
          <w:lang w:val="en-GB"/>
        </w:rPr>
        <w:tab/>
      </w:r>
      <w:r w:rsidRPr="00817268">
        <w:rPr>
          <w:lang w:val="en-GB"/>
        </w:rPr>
        <w:tab/>
      </w:r>
      <w:r w:rsidRPr="00817268">
        <w:rPr>
          <w:lang w:val="en-GB"/>
        </w:rPr>
        <w:tab/>
      </w:r>
      <w:proofErr w:type="spellStart"/>
      <w:r w:rsidRPr="00817268">
        <w:rPr>
          <w:lang w:val="en-GB"/>
        </w:rPr>
        <w:t>TFP</w:t>
      </w:r>
      <w:r w:rsidRPr="00A6384A">
        <w:rPr>
          <w:vertAlign w:val="subscript"/>
          <w:lang w:val="en-GB"/>
        </w:rPr>
        <w:t>Vi</w:t>
      </w:r>
      <w:proofErr w:type="spellEnd"/>
      <w:r w:rsidRPr="00817268">
        <w:rPr>
          <w:lang w:val="en-GB"/>
        </w:rPr>
        <w:t xml:space="preserve"> = </w:t>
      </w:r>
      <w:proofErr w:type="spellStart"/>
      <w:r w:rsidRPr="00817268">
        <w:rPr>
          <w:lang w:val="en-GB"/>
        </w:rPr>
        <w:t>TFP</w:t>
      </w:r>
      <w:r w:rsidRPr="00A6384A">
        <w:rPr>
          <w:vertAlign w:val="subscript"/>
          <w:lang w:val="en-GB"/>
        </w:rPr>
        <w:t>Yi</w:t>
      </w:r>
      <w:proofErr w:type="spellEnd"/>
      <w:r w:rsidRPr="00817268">
        <w:rPr>
          <w:lang w:val="en-GB"/>
        </w:rPr>
        <w:t>/(V</w:t>
      </w:r>
      <w:r w:rsidRPr="00A6384A">
        <w:rPr>
          <w:vertAlign w:val="subscript"/>
          <w:lang w:val="en-GB"/>
        </w:rPr>
        <w:t>i</w:t>
      </w:r>
      <w:r w:rsidRPr="00817268">
        <w:rPr>
          <w:lang w:val="en-GB"/>
        </w:rPr>
        <w:t>/Y</w:t>
      </w:r>
      <w:r w:rsidRPr="00A6384A">
        <w:rPr>
          <w:vertAlign w:val="subscript"/>
          <w:lang w:val="en-GB"/>
        </w:rPr>
        <w:t>i</w:t>
      </w:r>
      <w:r w:rsidRPr="00817268">
        <w:rPr>
          <w:lang w:val="en-GB"/>
        </w:rPr>
        <w:t xml:space="preserve">)= </w:t>
      </w:r>
      <w:proofErr w:type="spellStart"/>
      <w:r w:rsidRPr="00817268">
        <w:rPr>
          <w:lang w:val="en-GB"/>
        </w:rPr>
        <w:t>TFP</w:t>
      </w:r>
      <w:r w:rsidRPr="00A6384A">
        <w:rPr>
          <w:vertAlign w:val="subscript"/>
          <w:lang w:val="en-GB"/>
        </w:rPr>
        <w:t>Yi</w:t>
      </w:r>
      <w:proofErr w:type="spellEnd"/>
      <w:r w:rsidRPr="00817268">
        <w:rPr>
          <w:lang w:val="en-GB"/>
        </w:rPr>
        <w:t>/</w:t>
      </w:r>
      <w:proofErr w:type="spellStart"/>
      <w:r w:rsidRPr="00817268">
        <w:rPr>
          <w:lang w:val="en-GB"/>
        </w:rPr>
        <w:t>W</w:t>
      </w:r>
      <w:r w:rsidRPr="00A6384A">
        <w:rPr>
          <w:vertAlign w:val="subscript"/>
          <w:lang w:val="en-GB"/>
        </w:rPr>
        <w:t>i</w:t>
      </w:r>
      <w:proofErr w:type="spellEnd"/>
      <w:r w:rsidRPr="00817268">
        <w:rPr>
          <w:lang w:val="en-GB"/>
        </w:rPr>
        <w:t>= D</w:t>
      </w:r>
      <w:r w:rsidRPr="00A6384A">
        <w:rPr>
          <w:vertAlign w:val="subscript"/>
          <w:lang w:val="en-GB"/>
        </w:rPr>
        <w:t>i</w:t>
      </w:r>
      <w:r w:rsidRPr="00817268">
        <w:rPr>
          <w:lang w:val="en-GB"/>
        </w:rPr>
        <w:t xml:space="preserve"> </w:t>
      </w:r>
      <w:proofErr w:type="spellStart"/>
      <w:r w:rsidRPr="00817268">
        <w:rPr>
          <w:lang w:val="en-GB"/>
        </w:rPr>
        <w:t>TFP</w:t>
      </w:r>
      <w:r w:rsidRPr="00A6384A">
        <w:rPr>
          <w:vertAlign w:val="subscript"/>
          <w:lang w:val="en-GB"/>
        </w:rPr>
        <w:t>Yi</w:t>
      </w:r>
      <w:proofErr w:type="spellEnd"/>
      <w:r w:rsidRPr="00817268">
        <w:rPr>
          <w:lang w:val="en-GB"/>
        </w:rPr>
        <w:tab/>
      </w:r>
      <w:r w:rsidRPr="00817268">
        <w:rPr>
          <w:lang w:val="en-GB"/>
        </w:rPr>
        <w:tab/>
      </w:r>
      <w:r w:rsidRPr="00817268">
        <w:rPr>
          <w:lang w:val="en-GB"/>
        </w:rPr>
        <w:tab/>
        <w:t xml:space="preserve">  </w:t>
      </w:r>
    </w:p>
    <w:p w:rsidR="00817268" w:rsidRPr="00817268" w:rsidRDefault="00817268" w:rsidP="00817268">
      <w:pPr>
        <w:spacing w:before="120" w:after="120" w:line="360" w:lineRule="auto"/>
        <w:jc w:val="both"/>
        <w:rPr>
          <w:lang w:val="en-GB"/>
        </w:rPr>
      </w:pPr>
      <w:r w:rsidRPr="00817268">
        <w:rPr>
          <w:lang w:val="en-GB"/>
        </w:rPr>
        <w:t xml:space="preserve">where  </w:t>
      </w:r>
      <w:proofErr w:type="spellStart"/>
      <w:r w:rsidRPr="00817268">
        <w:rPr>
          <w:lang w:val="en-GB"/>
        </w:rPr>
        <w:t>TFP</w:t>
      </w:r>
      <w:r w:rsidRPr="00A6384A">
        <w:rPr>
          <w:vertAlign w:val="subscript"/>
          <w:lang w:val="en-GB"/>
        </w:rPr>
        <w:t>Vi</w:t>
      </w:r>
      <w:proofErr w:type="spellEnd"/>
      <w:r w:rsidRPr="00817268">
        <w:rPr>
          <w:lang w:val="en-GB"/>
        </w:rPr>
        <w:t xml:space="preserve"> is TFP value added based, </w:t>
      </w:r>
      <w:proofErr w:type="spellStart"/>
      <w:r w:rsidRPr="00817268">
        <w:rPr>
          <w:lang w:val="en-GB"/>
        </w:rPr>
        <w:t>TFP</w:t>
      </w:r>
      <w:r w:rsidRPr="00A6384A">
        <w:rPr>
          <w:vertAlign w:val="subscript"/>
          <w:lang w:val="en-GB"/>
        </w:rPr>
        <w:t>Yi</w:t>
      </w:r>
      <w:proofErr w:type="spellEnd"/>
      <w:r w:rsidRPr="00817268">
        <w:rPr>
          <w:lang w:val="en-GB"/>
        </w:rPr>
        <w:t xml:space="preserve"> is TFP gross output based, </w:t>
      </w:r>
      <w:proofErr w:type="spellStart"/>
      <w:r w:rsidRPr="00817268">
        <w:rPr>
          <w:lang w:val="en-GB"/>
        </w:rPr>
        <w:t>W</w:t>
      </w:r>
      <w:r w:rsidRPr="00A6384A">
        <w:rPr>
          <w:vertAlign w:val="subscript"/>
          <w:lang w:val="en-GB"/>
        </w:rPr>
        <w:t>i</w:t>
      </w:r>
      <w:proofErr w:type="spellEnd"/>
      <w:r w:rsidRPr="00817268">
        <w:rPr>
          <w:lang w:val="en-GB"/>
        </w:rPr>
        <w:t xml:space="preserve"> is the share of value added in gross output, and D</w:t>
      </w:r>
      <w:r w:rsidRPr="00A6384A">
        <w:rPr>
          <w:vertAlign w:val="subscript"/>
          <w:lang w:val="en-GB"/>
        </w:rPr>
        <w:t>i</w:t>
      </w:r>
      <w:r w:rsidRPr="00817268">
        <w:rPr>
          <w:lang w:val="en-GB"/>
        </w:rPr>
        <w:t xml:space="preserve"> (=1/</w:t>
      </w:r>
      <w:proofErr w:type="spellStart"/>
      <w:r w:rsidRPr="00817268">
        <w:rPr>
          <w:lang w:val="en-GB"/>
        </w:rPr>
        <w:t>W</w:t>
      </w:r>
      <w:r w:rsidRPr="00A6384A">
        <w:rPr>
          <w:vertAlign w:val="subscript"/>
          <w:lang w:val="en-GB"/>
        </w:rPr>
        <w:t>i</w:t>
      </w:r>
      <w:proofErr w:type="spellEnd"/>
      <w:r w:rsidRPr="00817268">
        <w:rPr>
          <w:lang w:val="en-GB"/>
        </w:rPr>
        <w:t xml:space="preserve">) is a multiplicative effect called the </w:t>
      </w:r>
      <w:proofErr w:type="spellStart"/>
      <w:r w:rsidRPr="00817268">
        <w:rPr>
          <w:lang w:val="en-GB"/>
        </w:rPr>
        <w:t>Domar</w:t>
      </w:r>
      <w:proofErr w:type="spellEnd"/>
      <w:r w:rsidRPr="00817268">
        <w:rPr>
          <w:lang w:val="en-GB"/>
        </w:rPr>
        <w:t xml:space="preserve"> factor.</w:t>
      </w:r>
    </w:p>
    <w:p w:rsidR="00817268" w:rsidRPr="00817268" w:rsidRDefault="00817268" w:rsidP="00817268">
      <w:pPr>
        <w:spacing w:before="120" w:after="120" w:line="360" w:lineRule="auto"/>
        <w:jc w:val="both"/>
        <w:rPr>
          <w:lang w:val="en-GB"/>
        </w:rPr>
      </w:pPr>
      <w:r w:rsidRPr="00817268">
        <w:rPr>
          <w:lang w:val="en-GB"/>
        </w:rPr>
        <w:t xml:space="preserve">Although it is analyzed mainly in a growth accounting  framework, the </w:t>
      </w:r>
      <w:proofErr w:type="spellStart"/>
      <w:r w:rsidRPr="00817268">
        <w:rPr>
          <w:lang w:val="en-GB"/>
        </w:rPr>
        <w:t>Domar</w:t>
      </w:r>
      <w:proofErr w:type="spellEnd"/>
      <w:r w:rsidRPr="00817268">
        <w:rPr>
          <w:lang w:val="en-GB"/>
        </w:rPr>
        <w:t xml:space="preserve"> factor can be used in an inter-firm (city, region,...) comparison. The analysis by Bruno (1978) can be embedded in the framework above. In the spirit of the survey by Cohen and Morrison (2009), we are explaining (part of) </w:t>
      </w:r>
      <w:proofErr w:type="spellStart"/>
      <w:r w:rsidRPr="00817268">
        <w:rPr>
          <w:lang w:val="en-GB"/>
        </w:rPr>
        <w:t>AVi</w:t>
      </w:r>
      <w:proofErr w:type="spellEnd"/>
      <w:r w:rsidRPr="00817268">
        <w:rPr>
          <w:lang w:val="en-GB"/>
        </w:rPr>
        <w:t>. Then, we have</w:t>
      </w:r>
    </w:p>
    <w:p w:rsidR="00817268" w:rsidRPr="00817268" w:rsidRDefault="00817268" w:rsidP="00817268">
      <w:pPr>
        <w:spacing w:before="120" w:after="120" w:line="360" w:lineRule="auto"/>
        <w:jc w:val="both"/>
        <w:rPr>
          <w:lang w:val="en-GB"/>
        </w:rPr>
      </w:pPr>
      <w:r w:rsidRPr="00817268">
        <w:rPr>
          <w:lang w:val="en-GB"/>
        </w:rPr>
        <w:t>(8)</w:t>
      </w:r>
      <w:r w:rsidRPr="00817268">
        <w:rPr>
          <w:lang w:val="en-GB"/>
        </w:rPr>
        <w:tab/>
      </w:r>
      <w:r w:rsidRPr="00817268">
        <w:rPr>
          <w:lang w:val="en-GB"/>
        </w:rPr>
        <w:tab/>
      </w:r>
      <w:r w:rsidRPr="00817268">
        <w:rPr>
          <w:lang w:val="en-GB"/>
        </w:rPr>
        <w:tab/>
      </w:r>
      <w:proofErr w:type="spellStart"/>
      <w:r w:rsidRPr="00817268">
        <w:rPr>
          <w:lang w:val="en-GB"/>
        </w:rPr>
        <w:t>AV</w:t>
      </w:r>
      <w:r w:rsidRPr="00665E40">
        <w:rPr>
          <w:vertAlign w:val="subscript"/>
          <w:lang w:val="en-GB"/>
        </w:rPr>
        <w:t>ij</w:t>
      </w:r>
      <w:proofErr w:type="spellEnd"/>
      <w:r w:rsidRPr="00817268">
        <w:rPr>
          <w:lang w:val="en-GB"/>
        </w:rPr>
        <w:t xml:space="preserve"> </w:t>
      </w:r>
      <w:r w:rsidRPr="00817268">
        <w:rPr>
          <w:rFonts w:ascii="Cambria Math" w:hAnsi="Cambria Math" w:cs="Cambria Math"/>
          <w:lang w:val="en-GB"/>
        </w:rPr>
        <w:t>∝</w:t>
      </w:r>
      <w:r w:rsidRPr="00817268">
        <w:rPr>
          <w:lang w:val="en-GB"/>
        </w:rPr>
        <w:t xml:space="preserve"> </w:t>
      </w:r>
      <w:proofErr w:type="spellStart"/>
      <w:r w:rsidRPr="00817268">
        <w:rPr>
          <w:lang w:val="en-GB"/>
        </w:rPr>
        <w:t>A</w:t>
      </w:r>
      <w:r w:rsidRPr="00665E40">
        <w:rPr>
          <w:vertAlign w:val="subscript"/>
          <w:lang w:val="en-GB"/>
        </w:rPr>
        <w:t>ij</w:t>
      </w:r>
      <w:proofErr w:type="spellEnd"/>
      <w:r w:rsidRPr="00817268">
        <w:rPr>
          <w:lang w:val="en-GB"/>
        </w:rPr>
        <w:t xml:space="preserve"> /</w:t>
      </w:r>
      <w:proofErr w:type="spellStart"/>
      <w:r w:rsidRPr="00817268">
        <w:rPr>
          <w:lang w:val="en-GB"/>
        </w:rPr>
        <w:t>W</w:t>
      </w:r>
      <w:r w:rsidRPr="00665E40">
        <w:rPr>
          <w:vertAlign w:val="subscript"/>
          <w:lang w:val="en-GB"/>
        </w:rPr>
        <w:t>ij</w:t>
      </w:r>
      <w:proofErr w:type="spellEnd"/>
      <w:r w:rsidRPr="00817268">
        <w:rPr>
          <w:lang w:val="en-GB"/>
        </w:rPr>
        <w:t xml:space="preserve"> = </w:t>
      </w:r>
      <w:proofErr w:type="spellStart"/>
      <w:r w:rsidRPr="00817268">
        <w:rPr>
          <w:lang w:val="en-GB"/>
        </w:rPr>
        <w:t>D</w:t>
      </w:r>
      <w:r w:rsidRPr="00665E40">
        <w:rPr>
          <w:vertAlign w:val="subscript"/>
          <w:lang w:val="en-GB"/>
        </w:rPr>
        <w:t>ij</w:t>
      </w:r>
      <w:proofErr w:type="spellEnd"/>
      <w:r w:rsidRPr="00817268">
        <w:rPr>
          <w:lang w:val="en-GB"/>
        </w:rPr>
        <w:t xml:space="preserve"> </w:t>
      </w:r>
      <w:proofErr w:type="spellStart"/>
      <w:r w:rsidRPr="00817268">
        <w:rPr>
          <w:lang w:val="en-GB"/>
        </w:rPr>
        <w:t>A</w:t>
      </w:r>
      <w:r w:rsidRPr="00665E40">
        <w:rPr>
          <w:vertAlign w:val="subscript"/>
          <w:lang w:val="en-GB"/>
        </w:rPr>
        <w:t>ij</w:t>
      </w:r>
      <w:proofErr w:type="spellEnd"/>
      <w:r w:rsidRPr="00817268">
        <w:rPr>
          <w:lang w:val="en-GB"/>
        </w:rPr>
        <w:tab/>
      </w:r>
      <w:r w:rsidRPr="00817268">
        <w:rPr>
          <w:lang w:val="en-GB"/>
        </w:rPr>
        <w:tab/>
      </w:r>
      <w:r w:rsidRPr="00817268">
        <w:rPr>
          <w:lang w:val="en-GB"/>
        </w:rPr>
        <w:tab/>
        <w:t xml:space="preserve">  </w:t>
      </w:r>
    </w:p>
    <w:p w:rsidR="00817268" w:rsidRPr="00817268" w:rsidRDefault="00817268" w:rsidP="00817268">
      <w:pPr>
        <w:spacing w:before="120" w:after="120" w:line="360" w:lineRule="auto"/>
        <w:jc w:val="both"/>
        <w:rPr>
          <w:lang w:val="en-GB"/>
        </w:rPr>
      </w:pPr>
      <w:r w:rsidRPr="00817268">
        <w:rPr>
          <w:lang w:val="en-GB"/>
        </w:rPr>
        <w:t xml:space="preserve">where we indicate with </w:t>
      </w:r>
      <w:r w:rsidRPr="00817268">
        <w:rPr>
          <w:rFonts w:ascii="Cambria Math" w:hAnsi="Cambria Math" w:cs="Cambria Math"/>
          <w:lang w:val="en-GB"/>
        </w:rPr>
        <w:t>∝</w:t>
      </w:r>
      <w:r w:rsidRPr="00817268">
        <w:rPr>
          <w:lang w:val="en-GB"/>
        </w:rPr>
        <w:t xml:space="preserve"> that the productivity value added based and the productivity gross output added based are proportional in the product of a normalizing constant and  the </w:t>
      </w:r>
      <w:proofErr w:type="spellStart"/>
      <w:r w:rsidRPr="00817268">
        <w:rPr>
          <w:lang w:val="en-GB"/>
        </w:rPr>
        <w:t>Domar</w:t>
      </w:r>
      <w:proofErr w:type="spellEnd"/>
      <w:r w:rsidRPr="00817268">
        <w:rPr>
          <w:lang w:val="en-GB"/>
        </w:rPr>
        <w:t xml:space="preserve"> factor </w:t>
      </w:r>
    </w:p>
    <w:p w:rsidR="00817268" w:rsidRPr="00817268" w:rsidRDefault="00817268" w:rsidP="00817268">
      <w:pPr>
        <w:spacing w:before="120" w:after="120" w:line="360" w:lineRule="auto"/>
        <w:jc w:val="both"/>
        <w:rPr>
          <w:lang w:val="en-GB"/>
        </w:rPr>
      </w:pPr>
      <w:r w:rsidRPr="00817268">
        <w:rPr>
          <w:lang w:val="en-GB"/>
        </w:rPr>
        <w:t xml:space="preserve">If </w:t>
      </w:r>
      <w:r w:rsidR="00665E40">
        <w:rPr>
          <w:lang w:val="en-GB"/>
        </w:rPr>
        <w:t>the share of intermediate consumptions, or "</w:t>
      </w:r>
      <w:r w:rsidRPr="00817268">
        <w:rPr>
          <w:lang w:val="en-GB"/>
        </w:rPr>
        <w:t>outsourcing</w:t>
      </w:r>
      <w:r w:rsidR="00665E40">
        <w:rPr>
          <w:lang w:val="en-GB"/>
        </w:rPr>
        <w:t>",</w:t>
      </w:r>
      <w:r w:rsidRPr="00817268">
        <w:rPr>
          <w:lang w:val="en-GB"/>
        </w:rPr>
        <w:t xml:space="preserve"> increases (decreases) with urban size, then higher</w:t>
      </w:r>
      <w:r w:rsidR="00665E40">
        <w:rPr>
          <w:lang w:val="en-GB"/>
        </w:rPr>
        <w:t xml:space="preserve"> </w:t>
      </w:r>
      <w:r w:rsidRPr="00817268">
        <w:rPr>
          <w:lang w:val="en-GB"/>
        </w:rPr>
        <w:t xml:space="preserve">(smaller)  productivity in large cities is measured with value added, even if TFP is the same gross-production based. This implies that part of agglomeration economies could be explained by the </w:t>
      </w:r>
      <w:proofErr w:type="spellStart"/>
      <w:r w:rsidRPr="00817268">
        <w:rPr>
          <w:lang w:val="en-GB"/>
        </w:rPr>
        <w:t>Domar</w:t>
      </w:r>
      <w:proofErr w:type="spellEnd"/>
      <w:r w:rsidRPr="00817268">
        <w:rPr>
          <w:lang w:val="en-GB"/>
        </w:rPr>
        <w:t xml:space="preserve"> factor. </w:t>
      </w:r>
      <w:r w:rsidR="00665E40">
        <w:rPr>
          <w:lang w:val="en-GB"/>
        </w:rPr>
        <w:t xml:space="preserve">Explaining the </w:t>
      </w:r>
      <w:r w:rsidR="00665E40">
        <w:rPr>
          <w:lang w:val="en-GB"/>
        </w:rPr>
        <w:lastRenderedPageBreak/>
        <w:t xml:space="preserve">changes of the </w:t>
      </w:r>
      <w:proofErr w:type="spellStart"/>
      <w:r w:rsidR="00665E40">
        <w:rPr>
          <w:lang w:val="en-GB"/>
        </w:rPr>
        <w:t>Domar</w:t>
      </w:r>
      <w:proofErr w:type="spellEnd"/>
      <w:r w:rsidR="00665E40">
        <w:rPr>
          <w:lang w:val="en-GB"/>
        </w:rPr>
        <w:t xml:space="preserve"> factor, w</w:t>
      </w:r>
      <w:r w:rsidRPr="00817268">
        <w:rPr>
          <w:lang w:val="en-GB"/>
        </w:rPr>
        <w:t xml:space="preserve">e can think of two opposite effects of thick input markets. Firstly, there is a price effect with more input of good quality and less expensive, which tends the share of intermediate consumption in gross production to decrease. Secondly, there is a quantity effect, which facilitates outsourcing and the use of higher levels of external inputs, increasing the share of intermediate consumption in gross output. </w:t>
      </w:r>
    </w:p>
    <w:p w:rsidR="00817268" w:rsidRPr="00817268" w:rsidRDefault="00817268" w:rsidP="00817268">
      <w:pPr>
        <w:spacing w:before="120" w:after="120" w:line="360" w:lineRule="auto"/>
        <w:jc w:val="both"/>
        <w:rPr>
          <w:lang w:val="en-GB"/>
        </w:rPr>
      </w:pPr>
      <w:r w:rsidRPr="00817268">
        <w:rPr>
          <w:lang w:val="en-GB"/>
        </w:rPr>
        <w:t>The previous ideas can be tested in a simple model. In average, the share of value added in gross output changes with city size according to the coefficient bi in the following regression:</w:t>
      </w:r>
    </w:p>
    <w:p w:rsidR="00817268" w:rsidRPr="00817268" w:rsidRDefault="00817268" w:rsidP="00817268">
      <w:pPr>
        <w:spacing w:before="120" w:after="120" w:line="360" w:lineRule="auto"/>
        <w:jc w:val="both"/>
        <w:rPr>
          <w:lang w:val="en-GB"/>
        </w:rPr>
      </w:pPr>
      <w:r w:rsidRPr="00817268">
        <w:rPr>
          <w:lang w:val="en-GB"/>
        </w:rPr>
        <w:t xml:space="preserve"> (9)</w:t>
      </w:r>
      <w:r w:rsidRPr="00817268">
        <w:rPr>
          <w:lang w:val="en-GB"/>
        </w:rPr>
        <w:tab/>
      </w:r>
      <w:r w:rsidRPr="00817268">
        <w:rPr>
          <w:lang w:val="en-GB"/>
        </w:rPr>
        <w:tab/>
      </w:r>
      <w:r w:rsidRPr="00817268">
        <w:rPr>
          <w:lang w:val="en-GB"/>
        </w:rPr>
        <w:tab/>
      </w:r>
      <w:proofErr w:type="spellStart"/>
      <w:r w:rsidRPr="00817268">
        <w:rPr>
          <w:lang w:val="en-GB"/>
        </w:rPr>
        <w:t>W</w:t>
      </w:r>
      <w:r w:rsidRPr="00665E40">
        <w:rPr>
          <w:vertAlign w:val="subscript"/>
          <w:lang w:val="en-GB"/>
        </w:rPr>
        <w:t>ij</w:t>
      </w:r>
      <w:proofErr w:type="spellEnd"/>
      <w:r w:rsidRPr="00817268">
        <w:rPr>
          <w:lang w:val="en-GB"/>
        </w:rPr>
        <w:t xml:space="preserve"> = </w:t>
      </w:r>
      <w:proofErr w:type="spellStart"/>
      <w:r w:rsidRPr="00817268">
        <w:rPr>
          <w:lang w:val="en-GB"/>
        </w:rPr>
        <w:t>a</w:t>
      </w:r>
      <w:r w:rsidRPr="00665E40">
        <w:rPr>
          <w:vertAlign w:val="subscript"/>
          <w:lang w:val="en-GB"/>
        </w:rPr>
        <w:t>i</w:t>
      </w:r>
      <w:proofErr w:type="spellEnd"/>
      <w:r w:rsidRPr="00817268">
        <w:rPr>
          <w:lang w:val="en-GB"/>
        </w:rPr>
        <w:t xml:space="preserve"> + b</w:t>
      </w:r>
      <w:r w:rsidRPr="00665E40">
        <w:rPr>
          <w:vertAlign w:val="subscript"/>
          <w:lang w:val="en-GB"/>
        </w:rPr>
        <w:t>i</w:t>
      </w:r>
      <w:r w:rsidRPr="00817268">
        <w:rPr>
          <w:lang w:val="en-GB"/>
        </w:rPr>
        <w:t xml:space="preserve"> log(</w:t>
      </w:r>
      <w:proofErr w:type="spellStart"/>
      <w:r w:rsidRPr="00817268">
        <w:rPr>
          <w:lang w:val="en-GB"/>
        </w:rPr>
        <w:t>SIZE</w:t>
      </w:r>
      <w:r w:rsidRPr="00665E40">
        <w:rPr>
          <w:vertAlign w:val="subscript"/>
          <w:lang w:val="en-GB"/>
        </w:rPr>
        <w:t>ji</w:t>
      </w:r>
      <w:proofErr w:type="spellEnd"/>
      <w:r w:rsidRPr="00817268">
        <w:rPr>
          <w:lang w:val="en-GB"/>
        </w:rPr>
        <w:t>/</w:t>
      </w:r>
      <w:proofErr w:type="spellStart"/>
      <w:r w:rsidRPr="00817268">
        <w:rPr>
          <w:lang w:val="en-GB"/>
        </w:rPr>
        <w:t>SIZE</w:t>
      </w:r>
      <w:r w:rsidRPr="00665E40">
        <w:rPr>
          <w:vertAlign w:val="subscript"/>
          <w:lang w:val="en-GB"/>
        </w:rPr>
        <w:t>g</w:t>
      </w:r>
      <w:proofErr w:type="spellEnd"/>
      <w:r w:rsidRPr="00817268">
        <w:rPr>
          <w:lang w:val="en-GB"/>
        </w:rPr>
        <w:t>)</w:t>
      </w:r>
    </w:p>
    <w:p w:rsidR="00817268" w:rsidRPr="00817268" w:rsidRDefault="00817268" w:rsidP="00817268">
      <w:pPr>
        <w:spacing w:before="120" w:after="120" w:line="360" w:lineRule="auto"/>
        <w:jc w:val="both"/>
        <w:rPr>
          <w:lang w:val="en-GB"/>
        </w:rPr>
      </w:pPr>
      <w:r w:rsidRPr="00817268">
        <w:rPr>
          <w:lang w:val="en-GB"/>
        </w:rPr>
        <w:t>The share of value added (</w:t>
      </w:r>
      <w:proofErr w:type="spellStart"/>
      <w:r w:rsidRPr="00817268">
        <w:rPr>
          <w:lang w:val="en-GB"/>
        </w:rPr>
        <w:t>W</w:t>
      </w:r>
      <w:r w:rsidRPr="00665E40">
        <w:rPr>
          <w:vertAlign w:val="subscript"/>
          <w:lang w:val="en-GB"/>
        </w:rPr>
        <w:t>i</w:t>
      </w:r>
      <w:proofErr w:type="spellEnd"/>
      <w:r w:rsidRPr="00817268">
        <w:rPr>
          <w:lang w:val="en-GB"/>
        </w:rPr>
        <w:t xml:space="preserve">) is regressed on city size, normalized by its geometrical mean. </w:t>
      </w:r>
      <w:proofErr w:type="spellStart"/>
      <w:r w:rsidRPr="00817268">
        <w:rPr>
          <w:lang w:val="en-GB"/>
        </w:rPr>
        <w:t>SIZE</w:t>
      </w:r>
      <w:r w:rsidRPr="00665E40">
        <w:rPr>
          <w:vertAlign w:val="subscript"/>
          <w:lang w:val="en-GB"/>
        </w:rPr>
        <w:t>j</w:t>
      </w:r>
      <w:proofErr w:type="spellEnd"/>
      <w:r w:rsidRPr="00817268">
        <w:rPr>
          <w:lang w:val="en-GB"/>
        </w:rPr>
        <w:t xml:space="preserve"> is the population of the city j where the firm (sector) is established, and </w:t>
      </w:r>
      <w:proofErr w:type="spellStart"/>
      <w:r w:rsidRPr="00817268">
        <w:rPr>
          <w:lang w:val="en-GB"/>
        </w:rPr>
        <w:t>SIZE</w:t>
      </w:r>
      <w:r w:rsidRPr="00665E40">
        <w:rPr>
          <w:vertAlign w:val="subscript"/>
          <w:lang w:val="en-GB"/>
        </w:rPr>
        <w:t>g</w:t>
      </w:r>
      <w:proofErr w:type="spellEnd"/>
      <w:r w:rsidRPr="00817268">
        <w:rPr>
          <w:lang w:val="en-GB"/>
        </w:rPr>
        <w:t xml:space="preserve"> is the geometric mean of city size. </w:t>
      </w:r>
      <w:r w:rsidR="008F7C31">
        <w:rPr>
          <w:lang w:val="en-GB"/>
        </w:rPr>
        <w:t>T</w:t>
      </w:r>
      <w:r w:rsidRPr="00817268">
        <w:rPr>
          <w:lang w:val="en-GB"/>
        </w:rPr>
        <w:t xml:space="preserve">he parameter </w:t>
      </w:r>
      <w:proofErr w:type="spellStart"/>
      <w:r w:rsidRPr="00817268">
        <w:rPr>
          <w:lang w:val="en-GB"/>
        </w:rPr>
        <w:t>a</w:t>
      </w:r>
      <w:r w:rsidRPr="00665E40">
        <w:rPr>
          <w:vertAlign w:val="subscript"/>
          <w:lang w:val="en-GB"/>
        </w:rPr>
        <w:t>i</w:t>
      </w:r>
      <w:proofErr w:type="spellEnd"/>
      <w:r w:rsidRPr="00817268">
        <w:rPr>
          <w:lang w:val="en-GB"/>
        </w:rPr>
        <w:t xml:space="preserve"> is given the interpretation of value added share in </w:t>
      </w:r>
      <w:r w:rsidR="00FE6B47">
        <w:rPr>
          <w:lang w:val="en-GB"/>
        </w:rPr>
        <w:t xml:space="preserve">the </w:t>
      </w:r>
      <w:r w:rsidRPr="00817268">
        <w:rPr>
          <w:lang w:val="en-GB"/>
        </w:rPr>
        <w:t>geometric mean</w:t>
      </w:r>
      <w:r w:rsidR="00FE6B47">
        <w:rPr>
          <w:lang w:val="en-GB"/>
        </w:rPr>
        <w:t xml:space="preserve"> of SIZE</w:t>
      </w:r>
      <w:r w:rsidRPr="00817268">
        <w:rPr>
          <w:lang w:val="en-GB"/>
        </w:rPr>
        <w:t>, and the implied mean value added share change when  population doubles is given by (b</w:t>
      </w:r>
      <w:r w:rsidRPr="00665E40">
        <w:rPr>
          <w:vertAlign w:val="subscript"/>
          <w:lang w:val="en-GB"/>
        </w:rPr>
        <w:t>i</w:t>
      </w:r>
      <w:r w:rsidRPr="00817268">
        <w:rPr>
          <w:lang w:val="en-GB"/>
        </w:rPr>
        <w:t xml:space="preserve"> log(2)) . The implied productivity growth </w:t>
      </w:r>
      <w:r w:rsidR="00665E40">
        <w:rPr>
          <w:lang w:val="en-GB"/>
        </w:rPr>
        <w:t xml:space="preserve">due to changes in the </w:t>
      </w:r>
      <w:proofErr w:type="spellStart"/>
      <w:r w:rsidR="00665E40">
        <w:rPr>
          <w:lang w:val="en-GB"/>
        </w:rPr>
        <w:t>Domar</w:t>
      </w:r>
      <w:proofErr w:type="spellEnd"/>
      <w:r w:rsidR="00665E40">
        <w:rPr>
          <w:lang w:val="en-GB"/>
        </w:rPr>
        <w:t xml:space="preserve"> factor </w:t>
      </w:r>
      <w:r w:rsidRPr="00817268">
        <w:rPr>
          <w:lang w:val="en-GB"/>
        </w:rPr>
        <w:t>when value added is used and population doubles can be calculated as log(</w:t>
      </w:r>
      <w:proofErr w:type="spellStart"/>
      <w:r w:rsidRPr="00817268">
        <w:rPr>
          <w:lang w:val="en-GB"/>
        </w:rPr>
        <w:t>a</w:t>
      </w:r>
      <w:r w:rsidRPr="00665E40">
        <w:rPr>
          <w:vertAlign w:val="subscript"/>
          <w:lang w:val="en-GB"/>
        </w:rPr>
        <w:t>i</w:t>
      </w:r>
      <w:proofErr w:type="spellEnd"/>
      <w:r w:rsidRPr="00817268">
        <w:rPr>
          <w:lang w:val="en-GB"/>
        </w:rPr>
        <w:t>/(</w:t>
      </w:r>
      <w:proofErr w:type="spellStart"/>
      <w:r w:rsidRPr="00817268">
        <w:rPr>
          <w:lang w:val="en-GB"/>
        </w:rPr>
        <w:t>a</w:t>
      </w:r>
      <w:r w:rsidRPr="00665E40">
        <w:rPr>
          <w:vertAlign w:val="subscript"/>
          <w:lang w:val="en-GB"/>
        </w:rPr>
        <w:t>i</w:t>
      </w:r>
      <w:r w:rsidRPr="00817268">
        <w:rPr>
          <w:lang w:val="en-GB"/>
        </w:rPr>
        <w:t>+b</w:t>
      </w:r>
      <w:r w:rsidRPr="00665E40">
        <w:rPr>
          <w:vertAlign w:val="subscript"/>
          <w:lang w:val="en-GB"/>
        </w:rPr>
        <w:t>i</w:t>
      </w:r>
      <w:proofErr w:type="spellEnd"/>
      <w:r w:rsidRPr="00817268">
        <w:rPr>
          <w:lang w:val="en-GB"/>
        </w:rPr>
        <w:t xml:space="preserve"> log(2)).</w:t>
      </w:r>
      <w:r w:rsidR="008F7C31">
        <w:rPr>
          <w:lang w:val="en-GB"/>
        </w:rPr>
        <w:t xml:space="preserve"> </w:t>
      </w:r>
    </w:p>
    <w:p w:rsidR="00817268" w:rsidRPr="00817268" w:rsidRDefault="00817268" w:rsidP="00817268">
      <w:pPr>
        <w:spacing w:before="120" w:after="120" w:line="360" w:lineRule="auto"/>
        <w:jc w:val="both"/>
        <w:rPr>
          <w:lang w:val="en-GB"/>
        </w:rPr>
      </w:pPr>
      <w:r w:rsidRPr="00817268">
        <w:rPr>
          <w:lang w:val="en-GB"/>
        </w:rPr>
        <w:t xml:space="preserve">A more direct approach involves the </w:t>
      </w:r>
      <w:proofErr w:type="spellStart"/>
      <w:r w:rsidRPr="00817268">
        <w:rPr>
          <w:lang w:val="en-GB"/>
        </w:rPr>
        <w:t>Domar</w:t>
      </w:r>
      <w:proofErr w:type="spellEnd"/>
      <w:r w:rsidRPr="00817268">
        <w:rPr>
          <w:lang w:val="en-GB"/>
        </w:rPr>
        <w:t xml:space="preserve"> factor</w:t>
      </w:r>
      <w:r w:rsidR="00665E40">
        <w:rPr>
          <w:lang w:val="en-GB"/>
        </w:rPr>
        <w:t xml:space="preserve"> as the dependent variable</w:t>
      </w:r>
    </w:p>
    <w:p w:rsidR="00817268" w:rsidRPr="00817268" w:rsidRDefault="00817268" w:rsidP="00817268">
      <w:pPr>
        <w:spacing w:before="120" w:after="120" w:line="360" w:lineRule="auto"/>
        <w:jc w:val="both"/>
        <w:rPr>
          <w:lang w:val="en-GB"/>
        </w:rPr>
      </w:pPr>
      <w:r w:rsidRPr="00817268">
        <w:rPr>
          <w:lang w:val="en-GB"/>
        </w:rPr>
        <w:t>(10)</w:t>
      </w:r>
      <w:r w:rsidRPr="00817268">
        <w:rPr>
          <w:lang w:val="en-GB"/>
        </w:rPr>
        <w:tab/>
      </w:r>
      <w:r w:rsidRPr="00817268">
        <w:rPr>
          <w:lang w:val="en-GB"/>
        </w:rPr>
        <w:tab/>
      </w:r>
      <w:r w:rsidRPr="00817268">
        <w:rPr>
          <w:lang w:val="en-GB"/>
        </w:rPr>
        <w:tab/>
      </w:r>
      <w:r w:rsidRPr="00817268">
        <w:rPr>
          <w:lang w:val="en-GB"/>
        </w:rPr>
        <w:tab/>
      </w:r>
      <w:proofErr w:type="spellStart"/>
      <w:r w:rsidRPr="00817268">
        <w:rPr>
          <w:lang w:val="en-GB"/>
        </w:rPr>
        <w:t>D</w:t>
      </w:r>
      <w:r w:rsidRPr="00665E40">
        <w:rPr>
          <w:vertAlign w:val="subscript"/>
          <w:lang w:val="en-GB"/>
        </w:rPr>
        <w:t>ij</w:t>
      </w:r>
      <w:proofErr w:type="spellEnd"/>
      <w:r w:rsidRPr="00817268">
        <w:rPr>
          <w:lang w:val="en-GB"/>
        </w:rPr>
        <w:t xml:space="preserve"> = </w:t>
      </w:r>
      <w:r w:rsidRPr="00665E40">
        <w:rPr>
          <w:rFonts w:ascii="Symbol" w:hAnsi="Symbol"/>
          <w:lang w:val="en-GB"/>
        </w:rPr>
        <w:t></w:t>
      </w:r>
      <w:proofErr w:type="spellStart"/>
      <w:r w:rsidRPr="00665E40">
        <w:rPr>
          <w:vertAlign w:val="subscript"/>
          <w:lang w:val="en-GB"/>
        </w:rPr>
        <w:t>i</w:t>
      </w:r>
      <w:proofErr w:type="spellEnd"/>
      <w:r w:rsidRPr="00817268">
        <w:rPr>
          <w:lang w:val="en-GB"/>
        </w:rPr>
        <w:t xml:space="preserve"> + </w:t>
      </w:r>
      <w:r w:rsidRPr="00665E40">
        <w:rPr>
          <w:rFonts w:ascii="Symbol" w:hAnsi="Symbol"/>
          <w:lang w:val="en-GB"/>
        </w:rPr>
        <w:t></w:t>
      </w:r>
      <w:proofErr w:type="spellStart"/>
      <w:r w:rsidRPr="00665E40">
        <w:rPr>
          <w:vertAlign w:val="subscript"/>
          <w:lang w:val="en-GB"/>
        </w:rPr>
        <w:t>i</w:t>
      </w:r>
      <w:proofErr w:type="spellEnd"/>
      <w:r w:rsidRPr="00817268">
        <w:rPr>
          <w:lang w:val="en-GB"/>
        </w:rPr>
        <w:t xml:space="preserve"> log(</w:t>
      </w:r>
      <w:proofErr w:type="spellStart"/>
      <w:r w:rsidRPr="00817268">
        <w:rPr>
          <w:lang w:val="en-GB"/>
        </w:rPr>
        <w:t>SIZE</w:t>
      </w:r>
      <w:r w:rsidRPr="00665E40">
        <w:rPr>
          <w:vertAlign w:val="subscript"/>
          <w:lang w:val="en-GB"/>
        </w:rPr>
        <w:t>j</w:t>
      </w:r>
      <w:proofErr w:type="spellEnd"/>
      <w:r w:rsidRPr="00817268">
        <w:rPr>
          <w:lang w:val="en-GB"/>
        </w:rPr>
        <w:t>)</w:t>
      </w:r>
    </w:p>
    <w:p w:rsidR="00817268" w:rsidRPr="00817268" w:rsidRDefault="00817268" w:rsidP="00817268">
      <w:pPr>
        <w:spacing w:before="120" w:after="120" w:line="360" w:lineRule="auto"/>
        <w:jc w:val="both"/>
        <w:rPr>
          <w:lang w:val="en-GB"/>
        </w:rPr>
      </w:pPr>
      <w:r w:rsidRPr="00817268">
        <w:rPr>
          <w:lang w:val="en-GB"/>
        </w:rPr>
        <w:t xml:space="preserve">where the possibility of normalizing </w:t>
      </w:r>
      <w:proofErr w:type="spellStart"/>
      <w:r w:rsidRPr="00817268">
        <w:rPr>
          <w:lang w:val="en-GB"/>
        </w:rPr>
        <w:t>SIZE</w:t>
      </w:r>
      <w:r w:rsidRPr="00665E40">
        <w:rPr>
          <w:vertAlign w:val="subscript"/>
          <w:lang w:val="en-GB"/>
        </w:rPr>
        <w:t>j</w:t>
      </w:r>
      <w:proofErr w:type="spellEnd"/>
      <w:r w:rsidRPr="00817268">
        <w:rPr>
          <w:lang w:val="en-GB"/>
        </w:rPr>
        <w:t xml:space="preserve"> is irrelevant, because the same structural effect </w:t>
      </w:r>
      <w:r w:rsidRPr="00665E40">
        <w:rPr>
          <w:rFonts w:ascii="Symbol" w:hAnsi="Symbol"/>
          <w:lang w:val="en-GB"/>
        </w:rPr>
        <w:t></w:t>
      </w:r>
      <w:proofErr w:type="spellStart"/>
      <w:r w:rsidRPr="00665E40">
        <w:rPr>
          <w:vertAlign w:val="subscript"/>
          <w:lang w:val="en-GB"/>
        </w:rPr>
        <w:t>i</w:t>
      </w:r>
      <w:proofErr w:type="spellEnd"/>
      <w:r w:rsidRPr="00817268">
        <w:rPr>
          <w:lang w:val="en-GB"/>
        </w:rPr>
        <w:t xml:space="preserve"> is constant along the regression line. </w:t>
      </w:r>
      <w:r w:rsidR="00665E40">
        <w:rPr>
          <w:lang w:val="en-GB"/>
        </w:rPr>
        <w:t xml:space="preserve">Normalizing </w:t>
      </w:r>
      <w:r w:rsidR="00665E40" w:rsidRPr="00817268">
        <w:rPr>
          <w:lang w:val="en-GB"/>
        </w:rPr>
        <w:t>log(</w:t>
      </w:r>
      <w:proofErr w:type="spellStart"/>
      <w:r w:rsidR="00665E40" w:rsidRPr="00817268">
        <w:rPr>
          <w:lang w:val="en-GB"/>
        </w:rPr>
        <w:t>SIZE</w:t>
      </w:r>
      <w:r w:rsidR="00665E40" w:rsidRPr="00665E40">
        <w:rPr>
          <w:vertAlign w:val="subscript"/>
          <w:lang w:val="en-GB"/>
        </w:rPr>
        <w:t>ji</w:t>
      </w:r>
      <w:proofErr w:type="spellEnd"/>
      <w:r w:rsidR="00665E40" w:rsidRPr="00817268">
        <w:rPr>
          <w:lang w:val="en-GB"/>
        </w:rPr>
        <w:t>/</w:t>
      </w:r>
      <w:proofErr w:type="spellStart"/>
      <w:r w:rsidR="00665E40" w:rsidRPr="00817268">
        <w:rPr>
          <w:lang w:val="en-GB"/>
        </w:rPr>
        <w:t>SIZE</w:t>
      </w:r>
      <w:r w:rsidR="00665E40" w:rsidRPr="00665E40">
        <w:rPr>
          <w:vertAlign w:val="subscript"/>
          <w:lang w:val="en-GB"/>
        </w:rPr>
        <w:t>g</w:t>
      </w:r>
      <w:proofErr w:type="spellEnd"/>
      <w:r w:rsidR="00665E40" w:rsidRPr="00817268">
        <w:rPr>
          <w:lang w:val="en-GB"/>
        </w:rPr>
        <w:t>)</w:t>
      </w:r>
      <w:r w:rsidR="00665E40">
        <w:rPr>
          <w:lang w:val="en-GB"/>
        </w:rPr>
        <w:t xml:space="preserve"> as in equation (9) gives </w:t>
      </w:r>
      <w:r w:rsidR="00FE6B47" w:rsidRPr="00665E40">
        <w:rPr>
          <w:rFonts w:ascii="Symbol" w:hAnsi="Symbol"/>
          <w:lang w:val="en-GB"/>
        </w:rPr>
        <w:t></w:t>
      </w:r>
      <w:proofErr w:type="spellStart"/>
      <w:r w:rsidR="00FE6B47" w:rsidRPr="00665E40">
        <w:rPr>
          <w:vertAlign w:val="subscript"/>
          <w:lang w:val="en-GB"/>
        </w:rPr>
        <w:t>i</w:t>
      </w:r>
      <w:proofErr w:type="spellEnd"/>
      <w:r w:rsidR="00FE6B47">
        <w:rPr>
          <w:lang w:val="en-GB"/>
        </w:rPr>
        <w:t xml:space="preserve">, the interpretation of the </w:t>
      </w:r>
      <w:proofErr w:type="spellStart"/>
      <w:r w:rsidR="00FE6B47">
        <w:rPr>
          <w:lang w:val="en-GB"/>
        </w:rPr>
        <w:t>Domar</w:t>
      </w:r>
      <w:proofErr w:type="spellEnd"/>
      <w:r w:rsidR="00FE6B47">
        <w:rPr>
          <w:lang w:val="en-GB"/>
        </w:rPr>
        <w:t xml:space="preserve"> factor at the geometric mean of SIZE. This is not a main issue in this paper because the interest is not the comparison of productivity measures but explaining biases in productivity measurement because of the accounting </w:t>
      </w:r>
      <w:r w:rsidR="00665E40">
        <w:rPr>
          <w:lang w:val="en-GB"/>
        </w:rPr>
        <w:t xml:space="preserve"> </w:t>
      </w:r>
      <w:r w:rsidR="00FE6B47">
        <w:rPr>
          <w:lang w:val="en-GB"/>
        </w:rPr>
        <w:t xml:space="preserve">framework. </w:t>
      </w:r>
      <w:r w:rsidRPr="00817268">
        <w:rPr>
          <w:lang w:val="en-GB"/>
        </w:rPr>
        <w:t>The implied productivity increase with city size changes respect to any city size benchmark SIZE</w:t>
      </w:r>
      <w:r w:rsidRPr="00FE6B47">
        <w:rPr>
          <w:vertAlign w:val="subscript"/>
          <w:lang w:val="en-GB"/>
        </w:rPr>
        <w:t>B</w:t>
      </w:r>
      <w:r w:rsidRPr="00817268">
        <w:rPr>
          <w:lang w:val="en-GB"/>
        </w:rPr>
        <w:t xml:space="preserve"> due to the </w:t>
      </w:r>
      <w:proofErr w:type="spellStart"/>
      <w:r w:rsidRPr="00817268">
        <w:rPr>
          <w:lang w:val="en-GB"/>
        </w:rPr>
        <w:t>Domar</w:t>
      </w:r>
      <w:proofErr w:type="spellEnd"/>
      <w:r w:rsidRPr="00817268">
        <w:rPr>
          <w:lang w:val="en-GB"/>
        </w:rPr>
        <w:t xml:space="preserve"> factor is </w:t>
      </w:r>
    </w:p>
    <w:p w:rsidR="00817268" w:rsidRPr="00817268" w:rsidRDefault="00817268" w:rsidP="00817268">
      <w:pPr>
        <w:spacing w:before="120" w:after="120" w:line="360" w:lineRule="auto"/>
        <w:jc w:val="both"/>
        <w:rPr>
          <w:lang w:val="en-GB"/>
        </w:rPr>
      </w:pPr>
      <w:r w:rsidRPr="00817268">
        <w:rPr>
          <w:lang w:val="en-GB"/>
        </w:rPr>
        <w:t>(11)</w:t>
      </w:r>
      <w:r w:rsidRPr="00817268">
        <w:rPr>
          <w:lang w:val="en-GB"/>
        </w:rPr>
        <w:tab/>
      </w:r>
      <w:r w:rsidRPr="00817268">
        <w:rPr>
          <w:lang w:val="en-GB"/>
        </w:rPr>
        <w:tab/>
      </w:r>
      <w:r w:rsidRPr="00817268">
        <w:rPr>
          <w:lang w:val="en-GB"/>
        </w:rPr>
        <w:tab/>
      </w:r>
      <w:r w:rsidRPr="00817268">
        <w:rPr>
          <w:lang w:val="en-GB"/>
        </w:rPr>
        <w:tab/>
      </w:r>
      <w:r w:rsidRPr="00FE6B47">
        <w:rPr>
          <w:rFonts w:ascii="Symbol" w:hAnsi="Symbol"/>
          <w:lang w:val="en-GB"/>
        </w:rPr>
        <w:t></w:t>
      </w:r>
      <w:proofErr w:type="spellStart"/>
      <w:r w:rsidRPr="00817268">
        <w:rPr>
          <w:lang w:val="en-GB"/>
        </w:rPr>
        <w:t>AV</w:t>
      </w:r>
      <w:r w:rsidRPr="00FE6B47">
        <w:rPr>
          <w:vertAlign w:val="subscript"/>
          <w:lang w:val="en-GB"/>
        </w:rPr>
        <w:t>ij</w:t>
      </w:r>
      <w:proofErr w:type="spellEnd"/>
      <w:r w:rsidRPr="00817268">
        <w:rPr>
          <w:lang w:val="en-GB"/>
        </w:rPr>
        <w:t xml:space="preserve"> = </w:t>
      </w:r>
      <w:r w:rsidRPr="00FE6B47">
        <w:rPr>
          <w:rFonts w:ascii="Symbol" w:hAnsi="Symbol"/>
          <w:lang w:val="en-GB"/>
        </w:rPr>
        <w:t></w:t>
      </w:r>
      <w:proofErr w:type="spellStart"/>
      <w:r w:rsidRPr="00FE6B47">
        <w:rPr>
          <w:vertAlign w:val="subscript"/>
          <w:lang w:val="en-GB"/>
        </w:rPr>
        <w:t>i</w:t>
      </w:r>
      <w:proofErr w:type="spellEnd"/>
      <w:r w:rsidRPr="00817268">
        <w:rPr>
          <w:lang w:val="en-GB"/>
        </w:rPr>
        <w:t xml:space="preserve"> log(</w:t>
      </w:r>
      <w:proofErr w:type="spellStart"/>
      <w:r w:rsidRPr="00817268">
        <w:rPr>
          <w:lang w:val="en-GB"/>
        </w:rPr>
        <w:t>SIZEj</w:t>
      </w:r>
      <w:proofErr w:type="spellEnd"/>
      <w:r w:rsidRPr="00817268">
        <w:rPr>
          <w:lang w:val="en-GB"/>
        </w:rPr>
        <w:t>/SIZE</w:t>
      </w:r>
      <w:r w:rsidRPr="00FE6B47">
        <w:rPr>
          <w:vertAlign w:val="subscript"/>
          <w:lang w:val="en-GB"/>
        </w:rPr>
        <w:t>B</w:t>
      </w:r>
      <w:r w:rsidRPr="00817268">
        <w:rPr>
          <w:lang w:val="en-GB"/>
        </w:rPr>
        <w:t>)</w:t>
      </w:r>
    </w:p>
    <w:p w:rsidR="00BE2B1C" w:rsidRPr="00BE2B1C" w:rsidRDefault="00BE2B1C" w:rsidP="00BE2B1C">
      <w:pPr>
        <w:spacing w:before="120" w:after="120" w:line="360" w:lineRule="auto"/>
        <w:jc w:val="both"/>
        <w:rPr>
          <w:lang w:val="en-GB"/>
        </w:rPr>
      </w:pPr>
      <w:r w:rsidRPr="00BE2B1C">
        <w:rPr>
          <w:lang w:val="en-GB"/>
        </w:rPr>
        <w:t xml:space="preserve">For the purpose of our discussion, a </w:t>
      </w:r>
      <w:proofErr w:type="spellStart"/>
      <w:r w:rsidRPr="00BE2B1C">
        <w:rPr>
          <w:lang w:val="en-GB"/>
        </w:rPr>
        <w:t>Domar</w:t>
      </w:r>
      <w:proofErr w:type="spellEnd"/>
      <w:r w:rsidRPr="00BE2B1C">
        <w:rPr>
          <w:lang w:val="en-GB"/>
        </w:rPr>
        <w:t xml:space="preserve"> factor effect on productivity is formulated in equation (10) as an empirical relationship where the inverse of value added shares in </w:t>
      </w:r>
      <w:r w:rsidRPr="00BE2B1C">
        <w:rPr>
          <w:lang w:val="en-GB"/>
        </w:rPr>
        <w:lastRenderedPageBreak/>
        <w:t xml:space="preserve">gross production increases (decreases) with the logarithm of city size, whatever it is measured, if the coefficient </w:t>
      </w:r>
      <w:r w:rsidRPr="00BE2B1C">
        <w:rPr>
          <w:rFonts w:ascii="Symbol" w:hAnsi="Symbol"/>
          <w:lang w:val="en-GB"/>
        </w:rPr>
        <w:t></w:t>
      </w:r>
      <w:proofErr w:type="spellStart"/>
      <w:r w:rsidRPr="00BE2B1C">
        <w:rPr>
          <w:lang w:val="en-GB"/>
        </w:rPr>
        <w:t>i</w:t>
      </w:r>
      <w:proofErr w:type="spellEnd"/>
      <w:r w:rsidRPr="00BE2B1C">
        <w:rPr>
          <w:lang w:val="en-GB"/>
        </w:rPr>
        <w:t>&gt;0 (</w:t>
      </w:r>
      <w:r w:rsidRPr="00BE2B1C">
        <w:rPr>
          <w:rFonts w:ascii="Symbol" w:hAnsi="Symbol"/>
          <w:lang w:val="en-GB"/>
        </w:rPr>
        <w:t></w:t>
      </w:r>
      <w:proofErr w:type="spellStart"/>
      <w:r w:rsidRPr="00BE2B1C">
        <w:rPr>
          <w:lang w:val="en-GB"/>
        </w:rPr>
        <w:t>i</w:t>
      </w:r>
      <w:proofErr w:type="spellEnd"/>
      <w:r w:rsidRPr="00BE2B1C">
        <w:rPr>
          <w:lang w:val="en-GB"/>
        </w:rPr>
        <w:t xml:space="preserve"> &lt;0). </w:t>
      </w:r>
    </w:p>
    <w:p w:rsidR="00BE2B1C" w:rsidRPr="00BE2B1C" w:rsidRDefault="00BE2B1C" w:rsidP="00BE2B1C">
      <w:pPr>
        <w:spacing w:before="120" w:after="120" w:line="360" w:lineRule="auto"/>
        <w:jc w:val="both"/>
        <w:rPr>
          <w:lang w:val="en-GB"/>
        </w:rPr>
      </w:pPr>
      <w:r w:rsidRPr="00BE2B1C">
        <w:rPr>
          <w:lang w:val="en-GB"/>
        </w:rPr>
        <w:t xml:space="preserve">Suppose that we use a panel data approach to model equation (10) as in </w:t>
      </w:r>
    </w:p>
    <w:p w:rsidR="00BE2B1C" w:rsidRPr="00BE2B1C" w:rsidRDefault="00BE2B1C" w:rsidP="00BE2B1C">
      <w:pPr>
        <w:spacing w:before="120" w:after="120" w:line="360" w:lineRule="auto"/>
        <w:jc w:val="both"/>
        <w:rPr>
          <w:lang w:val="en-GB"/>
        </w:rPr>
      </w:pPr>
      <w:r w:rsidRPr="00BE2B1C">
        <w:rPr>
          <w:lang w:val="en-GB"/>
        </w:rPr>
        <w:t>(12)</w:t>
      </w:r>
      <w:r w:rsidRPr="00BE2B1C">
        <w:rPr>
          <w:lang w:val="en-GB"/>
        </w:rPr>
        <w:tab/>
      </w:r>
      <w:r w:rsidRPr="00BE2B1C">
        <w:rPr>
          <w:lang w:val="en-GB"/>
        </w:rPr>
        <w:tab/>
      </w:r>
      <w:r w:rsidRPr="00BE2B1C">
        <w:rPr>
          <w:lang w:val="en-GB"/>
        </w:rPr>
        <w:tab/>
        <w:t xml:space="preserve"> </w:t>
      </w:r>
      <w:proofErr w:type="spellStart"/>
      <w:r w:rsidRPr="00BE2B1C">
        <w:rPr>
          <w:lang w:val="en-GB"/>
        </w:rPr>
        <w:t>Y</w:t>
      </w:r>
      <w:r w:rsidRPr="00BE2B1C">
        <w:rPr>
          <w:vertAlign w:val="subscript"/>
          <w:lang w:val="en-GB"/>
        </w:rPr>
        <w:t>it</w:t>
      </w:r>
      <w:proofErr w:type="spellEnd"/>
      <w:r w:rsidRPr="00BE2B1C">
        <w:rPr>
          <w:lang w:val="en-GB"/>
        </w:rPr>
        <w:t xml:space="preserve"> = </w:t>
      </w:r>
      <w:r w:rsidRPr="00BE2B1C">
        <w:rPr>
          <w:rFonts w:ascii="Symbol" w:hAnsi="Symbol"/>
          <w:lang w:val="en-GB"/>
        </w:rPr>
        <w:t></w:t>
      </w:r>
      <w:proofErr w:type="spellStart"/>
      <w:r w:rsidRPr="00BE2B1C">
        <w:rPr>
          <w:vertAlign w:val="subscript"/>
          <w:lang w:val="en-GB"/>
        </w:rPr>
        <w:t>i</w:t>
      </w:r>
      <w:proofErr w:type="spellEnd"/>
      <w:r w:rsidRPr="00BE2B1C">
        <w:rPr>
          <w:lang w:val="en-GB"/>
        </w:rPr>
        <w:t xml:space="preserve"> + </w:t>
      </w:r>
      <w:r w:rsidRPr="00BE2B1C">
        <w:rPr>
          <w:rFonts w:ascii="Symbol" w:hAnsi="Symbol"/>
          <w:lang w:val="en-GB"/>
        </w:rPr>
        <w:t></w:t>
      </w:r>
      <w:proofErr w:type="spellStart"/>
      <w:r w:rsidRPr="00BE2B1C">
        <w:rPr>
          <w:vertAlign w:val="subscript"/>
          <w:lang w:val="en-GB"/>
        </w:rPr>
        <w:t>i</w:t>
      </w:r>
      <w:proofErr w:type="spellEnd"/>
      <w:r w:rsidRPr="00BE2B1C">
        <w:rPr>
          <w:lang w:val="en-GB"/>
        </w:rPr>
        <w:t xml:space="preserve"> </w:t>
      </w:r>
      <w:proofErr w:type="spellStart"/>
      <w:r w:rsidRPr="00BE2B1C">
        <w:rPr>
          <w:lang w:val="en-GB"/>
        </w:rPr>
        <w:t>X</w:t>
      </w:r>
      <w:r w:rsidRPr="00BE2B1C">
        <w:rPr>
          <w:vertAlign w:val="subscript"/>
          <w:lang w:val="en-GB"/>
        </w:rPr>
        <w:t>it</w:t>
      </w:r>
      <w:proofErr w:type="spellEnd"/>
      <w:r w:rsidRPr="00BE2B1C">
        <w:rPr>
          <w:lang w:val="en-GB"/>
        </w:rPr>
        <w:t xml:space="preserve"> + </w:t>
      </w:r>
      <w:proofErr w:type="spellStart"/>
      <w:r w:rsidRPr="00BE2B1C">
        <w:rPr>
          <w:lang w:val="en-GB"/>
        </w:rPr>
        <w:t>u</w:t>
      </w:r>
      <w:r w:rsidRPr="00BE2B1C">
        <w:rPr>
          <w:vertAlign w:val="subscript"/>
          <w:lang w:val="en-GB"/>
        </w:rPr>
        <w:t>it</w:t>
      </w:r>
      <w:proofErr w:type="spellEnd"/>
    </w:p>
    <w:p w:rsidR="00BE2B1C" w:rsidRPr="00BE2B1C" w:rsidRDefault="00BE2B1C" w:rsidP="00BE2B1C">
      <w:pPr>
        <w:spacing w:before="120" w:after="120" w:line="360" w:lineRule="auto"/>
        <w:jc w:val="both"/>
        <w:rPr>
          <w:lang w:val="en-GB"/>
        </w:rPr>
      </w:pPr>
      <w:r w:rsidRPr="00BE2B1C">
        <w:rPr>
          <w:lang w:val="en-GB"/>
        </w:rPr>
        <w:t xml:space="preserve">where we have changed the notation  to a standard panel approach in order to reduce the number of sub indices.  In this equation </w:t>
      </w:r>
      <w:proofErr w:type="spellStart"/>
      <w:r w:rsidRPr="00BE2B1C">
        <w:rPr>
          <w:lang w:val="en-GB"/>
        </w:rPr>
        <w:t>Y</w:t>
      </w:r>
      <w:r w:rsidRPr="00BE2B1C">
        <w:rPr>
          <w:vertAlign w:val="subscript"/>
          <w:lang w:val="en-GB"/>
        </w:rPr>
        <w:t>jt</w:t>
      </w:r>
      <w:proofErr w:type="spellEnd"/>
      <w:r w:rsidRPr="00BE2B1C">
        <w:rPr>
          <w:lang w:val="en-GB"/>
        </w:rPr>
        <w:t xml:space="preserve"> denotes the </w:t>
      </w:r>
      <w:proofErr w:type="spellStart"/>
      <w:r w:rsidRPr="00BE2B1C">
        <w:rPr>
          <w:lang w:val="en-GB"/>
        </w:rPr>
        <w:t>Domar</w:t>
      </w:r>
      <w:proofErr w:type="spellEnd"/>
      <w:r w:rsidRPr="00BE2B1C">
        <w:rPr>
          <w:lang w:val="en-GB"/>
        </w:rPr>
        <w:t xml:space="preserve"> factor for sector </w:t>
      </w:r>
      <w:proofErr w:type="spellStart"/>
      <w:r w:rsidRPr="00BE2B1C">
        <w:rPr>
          <w:lang w:val="en-GB"/>
        </w:rPr>
        <w:t>i</w:t>
      </w:r>
      <w:proofErr w:type="spellEnd"/>
      <w:r w:rsidRPr="00BE2B1C">
        <w:rPr>
          <w:lang w:val="en-GB"/>
        </w:rPr>
        <w:t xml:space="preserve"> (index omitted)  of province j in year t; </w:t>
      </w:r>
      <w:proofErr w:type="spellStart"/>
      <w:r w:rsidRPr="00BE2B1C">
        <w:rPr>
          <w:lang w:val="en-GB"/>
        </w:rPr>
        <w:t>X</w:t>
      </w:r>
      <w:r w:rsidRPr="00BE2B1C">
        <w:rPr>
          <w:vertAlign w:val="subscript"/>
          <w:lang w:val="en-GB"/>
        </w:rPr>
        <w:t>jt</w:t>
      </w:r>
      <w:proofErr w:type="spellEnd"/>
      <w:r w:rsidRPr="00BE2B1C">
        <w:rPr>
          <w:lang w:val="en-GB"/>
        </w:rPr>
        <w:t xml:space="preserve"> denotes the natural log of province size j in year  t, and </w:t>
      </w:r>
      <w:proofErr w:type="spellStart"/>
      <w:r w:rsidRPr="00BE2B1C">
        <w:rPr>
          <w:lang w:val="en-GB"/>
        </w:rPr>
        <w:t>u</w:t>
      </w:r>
      <w:r w:rsidRPr="00BE2B1C">
        <w:rPr>
          <w:vertAlign w:val="subscript"/>
          <w:lang w:val="en-GB"/>
        </w:rPr>
        <w:t>it</w:t>
      </w:r>
      <w:proofErr w:type="spellEnd"/>
      <w:r w:rsidRPr="00BE2B1C">
        <w:rPr>
          <w:lang w:val="en-GB"/>
        </w:rPr>
        <w:t xml:space="preserve"> is a random residual which may be </w:t>
      </w:r>
      <w:proofErr w:type="spellStart"/>
      <w:r w:rsidRPr="00BE2B1C">
        <w:rPr>
          <w:lang w:val="en-GB"/>
        </w:rPr>
        <w:t>heteroskedastic</w:t>
      </w:r>
      <w:proofErr w:type="spellEnd"/>
      <w:r w:rsidRPr="00BE2B1C">
        <w:rPr>
          <w:lang w:val="en-GB"/>
        </w:rPr>
        <w:t>, possibly correlated among provinces and serially correlated in different ways for the different provinces.</w:t>
      </w:r>
    </w:p>
    <w:p w:rsidR="00BE2B1C" w:rsidRPr="00BE2B1C" w:rsidRDefault="00BE2B1C" w:rsidP="00BE2B1C">
      <w:pPr>
        <w:spacing w:before="120" w:after="120" w:line="360" w:lineRule="auto"/>
        <w:jc w:val="both"/>
        <w:rPr>
          <w:lang w:val="en-GB"/>
        </w:rPr>
      </w:pPr>
      <w:proofErr w:type="spellStart"/>
      <w:r w:rsidRPr="00BE2B1C">
        <w:rPr>
          <w:lang w:val="en-GB"/>
        </w:rPr>
        <w:t>Elhorst</w:t>
      </w:r>
      <w:proofErr w:type="spellEnd"/>
      <w:r w:rsidRPr="00BE2B1C">
        <w:rPr>
          <w:lang w:val="en-GB"/>
        </w:rPr>
        <w:t xml:space="preserve"> (2014) surveys the theory and methods for fixing equation (12) by means of dynam</w:t>
      </w:r>
      <w:r>
        <w:rPr>
          <w:lang w:val="en-GB"/>
        </w:rPr>
        <w:t xml:space="preserve">ic spatial panel econometrics. </w:t>
      </w:r>
      <w:r w:rsidRPr="00BE2B1C">
        <w:rPr>
          <w:lang w:val="en-GB"/>
        </w:rPr>
        <w:t xml:space="preserve">The main empirical problem is that there is not any obvious choice for </w:t>
      </w:r>
      <w:r w:rsidR="005E38AC">
        <w:rPr>
          <w:lang w:val="en-GB"/>
        </w:rPr>
        <w:t xml:space="preserve">the matrix of spatial correlations </w:t>
      </w:r>
      <w:r w:rsidRPr="00BE2B1C">
        <w:rPr>
          <w:lang w:val="en-GB"/>
        </w:rPr>
        <w:t>W</w:t>
      </w:r>
      <w:r w:rsidR="005E38AC">
        <w:rPr>
          <w:lang w:val="en-GB"/>
        </w:rPr>
        <w:t>,</w:t>
      </w:r>
      <w:r w:rsidRPr="00BE2B1C">
        <w:rPr>
          <w:lang w:val="en-GB"/>
        </w:rPr>
        <w:t xml:space="preserve"> in our case. Spatial dependence could arise due to geographical vicinity, or to close levels of economic development, or to omitted factors possibly related also to </w:t>
      </w:r>
      <w:r w:rsidR="005E38AC">
        <w:rPr>
          <w:lang w:val="en-GB"/>
        </w:rPr>
        <w:t>urban</w:t>
      </w:r>
      <w:r w:rsidRPr="00BE2B1C">
        <w:rPr>
          <w:lang w:val="en-GB"/>
        </w:rPr>
        <w:t xml:space="preserve"> size. Harris et al. (2011) find that differently constructed W matrices produce different estimates of spatial </w:t>
      </w:r>
      <w:proofErr w:type="spellStart"/>
      <w:r w:rsidRPr="00BE2B1C">
        <w:rPr>
          <w:lang w:val="en-GB"/>
        </w:rPr>
        <w:t>spillovers</w:t>
      </w:r>
      <w:proofErr w:type="spellEnd"/>
      <w:r w:rsidRPr="00BE2B1C">
        <w:rPr>
          <w:lang w:val="en-GB"/>
        </w:rPr>
        <w:t xml:space="preserve">. </w:t>
      </w:r>
    </w:p>
    <w:p w:rsidR="008E6040" w:rsidRDefault="00BE2B1C" w:rsidP="00BE2B1C">
      <w:pPr>
        <w:spacing w:before="120" w:after="120" w:line="360" w:lineRule="auto"/>
        <w:jc w:val="both"/>
        <w:rPr>
          <w:lang w:val="en-GB"/>
        </w:rPr>
      </w:pPr>
      <w:r>
        <w:rPr>
          <w:lang w:val="en-GB"/>
        </w:rPr>
        <w:t>Hence avoiding the</w:t>
      </w:r>
      <w:r w:rsidRPr="00BE2B1C">
        <w:rPr>
          <w:lang w:val="en-GB"/>
        </w:rPr>
        <w:t xml:space="preserve"> problems of spatial panel econometrics, we follow an alternative approach, based on a simple t-test. This is the </w:t>
      </w:r>
      <w:proofErr w:type="spellStart"/>
      <w:r w:rsidRPr="00BE2B1C">
        <w:rPr>
          <w:lang w:val="en-GB"/>
        </w:rPr>
        <w:t>Fama</w:t>
      </w:r>
      <w:proofErr w:type="spellEnd"/>
      <w:r w:rsidRPr="00BE2B1C">
        <w:rPr>
          <w:lang w:val="en-GB"/>
        </w:rPr>
        <w:t xml:space="preserve"> and </w:t>
      </w:r>
      <w:proofErr w:type="spellStart"/>
      <w:r w:rsidRPr="00BE2B1C">
        <w:rPr>
          <w:lang w:val="en-GB"/>
        </w:rPr>
        <w:t>MacBeth</w:t>
      </w:r>
      <w:proofErr w:type="spellEnd"/>
      <w:r w:rsidRPr="00BE2B1C">
        <w:rPr>
          <w:lang w:val="en-GB"/>
        </w:rPr>
        <w:t xml:space="preserve"> (1973) method for testing the capital asset pricing model in finance using data of different firms or stocks as individual units. We can formulate the statistical hypothesis as a purely empirical relationship. </w:t>
      </w:r>
      <w:r>
        <w:rPr>
          <w:lang w:val="en-GB"/>
        </w:rPr>
        <w:t>W</w:t>
      </w:r>
      <w:r w:rsidRPr="00BE2B1C">
        <w:rPr>
          <w:lang w:val="en-GB"/>
        </w:rPr>
        <w:t>e are interested in testing the null hypothesis that the coefficient is zero against the alternative hypothesis that it is different from zero, as a two-side test</w:t>
      </w:r>
      <w:r>
        <w:rPr>
          <w:lang w:val="en-GB"/>
        </w:rPr>
        <w:t xml:space="preserve"> because </w:t>
      </w:r>
      <w:r w:rsidRPr="00BE2B1C">
        <w:rPr>
          <w:lang w:val="en-GB"/>
        </w:rPr>
        <w:t xml:space="preserve">the coefficient </w:t>
      </w:r>
      <w:r w:rsidRPr="00BE2B1C">
        <w:rPr>
          <w:rFonts w:ascii="Symbol" w:hAnsi="Symbol"/>
          <w:lang w:val="en-GB"/>
        </w:rPr>
        <w:t></w:t>
      </w:r>
      <w:r w:rsidRPr="00BE2B1C">
        <w:rPr>
          <w:lang w:val="en-GB"/>
        </w:rPr>
        <w:t xml:space="preserve"> can be positive or negative. Then, cross-section regressions for different years </w:t>
      </w:r>
      <w:r>
        <w:rPr>
          <w:lang w:val="en-GB"/>
        </w:rPr>
        <w:t xml:space="preserve">and sectors </w:t>
      </w:r>
      <w:r w:rsidRPr="00BE2B1C">
        <w:rPr>
          <w:lang w:val="en-GB"/>
        </w:rPr>
        <w:t>are to be estimated separately and t-test</w:t>
      </w:r>
      <w:r>
        <w:rPr>
          <w:lang w:val="en-GB"/>
        </w:rPr>
        <w:t>s</w:t>
      </w:r>
      <w:r w:rsidRPr="00BE2B1C">
        <w:rPr>
          <w:lang w:val="en-GB"/>
        </w:rPr>
        <w:t xml:space="preserve"> </w:t>
      </w:r>
      <w:r>
        <w:rPr>
          <w:lang w:val="en-GB"/>
        </w:rPr>
        <w:t>are</w:t>
      </w:r>
      <w:r w:rsidRPr="00BE2B1C">
        <w:rPr>
          <w:lang w:val="en-GB"/>
        </w:rPr>
        <w:t xml:space="preserve"> to be applied to the resulting coefficients. </w:t>
      </w:r>
      <w:proofErr w:type="spellStart"/>
      <w:r w:rsidRPr="00BE2B1C">
        <w:rPr>
          <w:lang w:val="en-GB"/>
        </w:rPr>
        <w:t>Ibragimov</w:t>
      </w:r>
      <w:proofErr w:type="spellEnd"/>
      <w:r w:rsidRPr="00BE2B1C">
        <w:rPr>
          <w:lang w:val="en-GB"/>
        </w:rPr>
        <w:t xml:space="preserve"> and </w:t>
      </w:r>
      <w:proofErr w:type="spellStart"/>
      <w:r w:rsidRPr="00BE2B1C">
        <w:rPr>
          <w:lang w:val="en-GB"/>
        </w:rPr>
        <w:t>Müller</w:t>
      </w:r>
      <w:proofErr w:type="spellEnd"/>
      <w:r w:rsidRPr="00BE2B1C">
        <w:rPr>
          <w:lang w:val="en-GB"/>
        </w:rPr>
        <w:t xml:space="preserve"> (20</w:t>
      </w:r>
      <w:r w:rsidR="0021596F">
        <w:rPr>
          <w:lang w:val="en-GB"/>
        </w:rPr>
        <w:t>10</w:t>
      </w:r>
      <w:r w:rsidRPr="00BE2B1C">
        <w:rPr>
          <w:lang w:val="en-GB"/>
        </w:rPr>
        <w:t xml:space="preserve">) provide a theoretical justification of this test and analyze several application settings.  </w:t>
      </w:r>
    </w:p>
    <w:p w:rsidR="008A76D0" w:rsidRPr="00BE2B1C" w:rsidRDefault="008A76D0" w:rsidP="00BE2B1C">
      <w:pPr>
        <w:spacing w:before="120" w:after="120" w:line="360" w:lineRule="auto"/>
        <w:jc w:val="both"/>
        <w:rPr>
          <w:lang w:val="en-GB"/>
        </w:rPr>
      </w:pPr>
    </w:p>
    <w:p w:rsidR="008E6040" w:rsidRPr="008E6040" w:rsidRDefault="008E6040" w:rsidP="008E6040">
      <w:pPr>
        <w:spacing w:before="120" w:after="120" w:line="360" w:lineRule="auto"/>
        <w:jc w:val="both"/>
        <w:rPr>
          <w:b/>
          <w:lang w:val="en-GB"/>
        </w:rPr>
      </w:pPr>
      <w:r w:rsidRPr="008E6040">
        <w:rPr>
          <w:b/>
          <w:lang w:val="en-GB"/>
        </w:rPr>
        <w:t>3. Empirical Analysis</w:t>
      </w:r>
    </w:p>
    <w:p w:rsidR="00FE6B47" w:rsidRDefault="00817268" w:rsidP="00817268">
      <w:pPr>
        <w:spacing w:before="120" w:after="120" w:line="360" w:lineRule="auto"/>
        <w:jc w:val="both"/>
        <w:rPr>
          <w:lang w:val="en-GB"/>
        </w:rPr>
      </w:pPr>
      <w:r w:rsidRPr="00817268">
        <w:rPr>
          <w:lang w:val="en-GB"/>
        </w:rPr>
        <w:t xml:space="preserve">The following section analyzes empirically the relationships (10) and (11) for the </w:t>
      </w:r>
      <w:r w:rsidR="00FE6B47">
        <w:rPr>
          <w:lang w:val="en-GB"/>
        </w:rPr>
        <w:t xml:space="preserve">main sectors of the </w:t>
      </w:r>
      <w:r w:rsidRPr="00817268">
        <w:rPr>
          <w:lang w:val="en-GB"/>
        </w:rPr>
        <w:t>Spanish provinces</w:t>
      </w:r>
      <w:r w:rsidR="00FE6B47">
        <w:rPr>
          <w:lang w:val="en-GB"/>
        </w:rPr>
        <w:t xml:space="preserve"> and the manufacturing subsectors of the Spanish regions</w:t>
      </w:r>
      <w:r w:rsidRPr="00817268">
        <w:rPr>
          <w:lang w:val="en-GB"/>
        </w:rPr>
        <w:t>.</w:t>
      </w:r>
      <w:r w:rsidR="00FE6B47">
        <w:rPr>
          <w:lang w:val="en-GB"/>
        </w:rPr>
        <w:t xml:space="preserve"> </w:t>
      </w:r>
    </w:p>
    <w:p w:rsidR="00BE2B1C" w:rsidRPr="00BE2B1C" w:rsidRDefault="00BE2B1C" w:rsidP="00BE2B1C">
      <w:pPr>
        <w:spacing w:before="120" w:after="120" w:line="360" w:lineRule="auto"/>
        <w:jc w:val="both"/>
        <w:rPr>
          <w:lang w:val="en-GB"/>
        </w:rPr>
      </w:pPr>
      <w:r>
        <w:rPr>
          <w:lang w:val="en-GB"/>
        </w:rPr>
        <w:lastRenderedPageBreak/>
        <w:t>Firstly, t</w:t>
      </w:r>
      <w:r w:rsidRPr="00BE2B1C">
        <w:rPr>
          <w:lang w:val="en-GB"/>
        </w:rPr>
        <w:t xml:space="preserve">he model is tested using data from </w:t>
      </w:r>
      <w:proofErr w:type="spellStart"/>
      <w:r w:rsidRPr="00BE2B1C">
        <w:rPr>
          <w:lang w:val="en-GB"/>
        </w:rPr>
        <w:t>Alcaide</w:t>
      </w:r>
      <w:proofErr w:type="spellEnd"/>
      <w:r w:rsidRPr="00BE2B1C">
        <w:rPr>
          <w:lang w:val="en-GB"/>
        </w:rPr>
        <w:t xml:space="preserve"> </w:t>
      </w:r>
      <w:proofErr w:type="spellStart"/>
      <w:r w:rsidRPr="00BE2B1C">
        <w:rPr>
          <w:lang w:val="en-GB"/>
        </w:rPr>
        <w:t>Inchausti</w:t>
      </w:r>
      <w:proofErr w:type="spellEnd"/>
      <w:r w:rsidRPr="00BE2B1C">
        <w:rPr>
          <w:lang w:val="en-GB"/>
        </w:rPr>
        <w:t xml:space="preserve"> and </w:t>
      </w:r>
      <w:proofErr w:type="spellStart"/>
      <w:r w:rsidRPr="00BE2B1C">
        <w:rPr>
          <w:lang w:val="en-GB"/>
        </w:rPr>
        <w:t>Alcaide</w:t>
      </w:r>
      <w:proofErr w:type="spellEnd"/>
      <w:r w:rsidRPr="00BE2B1C">
        <w:rPr>
          <w:lang w:val="en-GB"/>
        </w:rPr>
        <w:t xml:space="preserve"> </w:t>
      </w:r>
      <w:proofErr w:type="spellStart"/>
      <w:r w:rsidRPr="00BE2B1C">
        <w:rPr>
          <w:lang w:val="en-GB"/>
        </w:rPr>
        <w:t>Guindo</w:t>
      </w:r>
      <w:proofErr w:type="spellEnd"/>
      <w:r w:rsidRPr="00BE2B1C">
        <w:rPr>
          <w:lang w:val="en-GB"/>
        </w:rPr>
        <w:t xml:space="preserve"> (2000) for the  50 Spanish provinces (Ceuta and Melilla are excluded)</w:t>
      </w:r>
      <w:r>
        <w:rPr>
          <w:lang w:val="en-GB"/>
        </w:rPr>
        <w:t>, the years 19</w:t>
      </w:r>
      <w:r w:rsidR="001D4E02">
        <w:rPr>
          <w:lang w:val="en-GB"/>
        </w:rPr>
        <w:t>85</w:t>
      </w:r>
      <w:r>
        <w:rPr>
          <w:lang w:val="en-GB"/>
        </w:rPr>
        <w:t xml:space="preserve"> to </w:t>
      </w:r>
      <w:r w:rsidR="001D4E02">
        <w:rPr>
          <w:lang w:val="en-GB"/>
        </w:rPr>
        <w:t>199</w:t>
      </w:r>
      <w:r w:rsidR="0021596F">
        <w:rPr>
          <w:lang w:val="en-GB"/>
        </w:rPr>
        <w:t>5</w:t>
      </w:r>
      <w:r w:rsidRPr="00BE2B1C">
        <w:rPr>
          <w:lang w:val="en-GB"/>
        </w:rPr>
        <w:t>. For more recent years, it seems that a constant ratio between value added and gross production have been used for each province. The model is estimated for the following industries: agriculture, construction, manufacturing, and services. As our measures of city size we have used population and employment, both in number of persons and in density (per area) form.</w:t>
      </w:r>
    </w:p>
    <w:p w:rsidR="00BE2B1C" w:rsidRPr="00BE2B1C" w:rsidRDefault="00BE2B1C" w:rsidP="00BE2B1C">
      <w:pPr>
        <w:spacing w:before="120" w:after="120" w:line="360" w:lineRule="auto"/>
        <w:jc w:val="both"/>
        <w:rPr>
          <w:lang w:val="en-GB"/>
        </w:rPr>
      </w:pPr>
      <w:r w:rsidRPr="00BE2B1C">
        <w:rPr>
          <w:lang w:val="en-GB"/>
        </w:rPr>
        <w:t xml:space="preserve">It is thought that using a population- or employment-based measure of  agglomeration as the dependent variable of interest makes little difference to the results, given  the high correlation between the two. Following </w:t>
      </w:r>
      <w:proofErr w:type="spellStart"/>
      <w:r w:rsidRPr="00BE2B1C">
        <w:rPr>
          <w:lang w:val="en-GB"/>
        </w:rPr>
        <w:t>Ciccone</w:t>
      </w:r>
      <w:proofErr w:type="spellEnd"/>
      <w:r w:rsidRPr="00BE2B1C">
        <w:rPr>
          <w:lang w:val="en-GB"/>
        </w:rPr>
        <w:t xml:space="preserve"> and Hall (1996), employment density has been favoured relative to population because density-based measures of agglomeration. This is because density -based measures are more robust to size differences due to mere geographical or administrative zoning. It is clear that economic data are often available only for administrative divisions. The advantage of using density-based measures is that they better characterize the economic meaning of spatial units, </w:t>
      </w:r>
      <w:proofErr w:type="spellStart"/>
      <w:r w:rsidRPr="00BE2B1C">
        <w:rPr>
          <w:lang w:val="en-GB"/>
        </w:rPr>
        <w:t>proxying</w:t>
      </w:r>
      <w:proofErr w:type="spellEnd"/>
      <w:r w:rsidRPr="00BE2B1C">
        <w:rPr>
          <w:lang w:val="en-GB"/>
        </w:rPr>
        <w:t xml:space="preserve"> for urban amenities and potential congestion costs. However, </w:t>
      </w:r>
      <w:proofErr w:type="spellStart"/>
      <w:r w:rsidRPr="00BE2B1C">
        <w:rPr>
          <w:lang w:val="en-GB"/>
        </w:rPr>
        <w:t>Melo</w:t>
      </w:r>
      <w:proofErr w:type="spellEnd"/>
      <w:r w:rsidRPr="00BE2B1C">
        <w:rPr>
          <w:lang w:val="en-GB"/>
        </w:rPr>
        <w:t xml:space="preserve"> et al. (2009) do not find any difference in measuring urban agglomeration with employment density instead of total urban size; the coefficients are statistically not different from zero in both cases. </w:t>
      </w:r>
    </w:p>
    <w:p w:rsidR="00BE2B1C" w:rsidRPr="00BE2B1C" w:rsidRDefault="00BE2B1C" w:rsidP="00BE2B1C">
      <w:pPr>
        <w:spacing w:before="120" w:after="120" w:line="360" w:lineRule="auto"/>
        <w:jc w:val="both"/>
        <w:rPr>
          <w:lang w:val="en-GB"/>
        </w:rPr>
      </w:pPr>
      <w:r w:rsidRPr="00BE2B1C">
        <w:rPr>
          <w:lang w:val="en-GB"/>
        </w:rPr>
        <w:t xml:space="preserve">Our specification requires us to estimate relationship (10), adding an error tem </w:t>
      </w:r>
      <w:proofErr w:type="spellStart"/>
      <w:r w:rsidRPr="00BE2B1C">
        <w:rPr>
          <w:lang w:val="en-GB"/>
        </w:rPr>
        <w:t>v</w:t>
      </w:r>
      <w:r w:rsidRPr="00BE2B1C">
        <w:rPr>
          <w:vertAlign w:val="subscript"/>
          <w:lang w:val="en-GB"/>
        </w:rPr>
        <w:t>j</w:t>
      </w:r>
      <w:proofErr w:type="spellEnd"/>
      <w:r w:rsidRPr="00BE2B1C">
        <w:rPr>
          <w:lang w:val="en-GB"/>
        </w:rPr>
        <w:t xml:space="preserve"> without including other explanatory variables. The point is that the only coefficient of interest to us is </w:t>
      </w:r>
      <w:r w:rsidRPr="00BE2B1C">
        <w:rPr>
          <w:rFonts w:ascii="Symbol" w:hAnsi="Symbol"/>
          <w:lang w:val="en-GB"/>
        </w:rPr>
        <w:t></w:t>
      </w:r>
      <w:r w:rsidRPr="00BE2B1C">
        <w:rPr>
          <w:vertAlign w:val="subscript"/>
          <w:lang w:val="en-GB"/>
        </w:rPr>
        <w:t>i</w:t>
      </w:r>
      <w:r w:rsidRPr="00BE2B1C">
        <w:rPr>
          <w:rFonts w:ascii="Symbol" w:hAnsi="Symbol"/>
          <w:lang w:val="en-GB"/>
        </w:rPr>
        <w:t></w:t>
      </w:r>
      <w:r w:rsidRPr="00BE2B1C">
        <w:rPr>
          <w:lang w:val="en-GB"/>
        </w:rPr>
        <w:t xml:space="preserve">because equation (10) is our statistical hypothesis for the </w:t>
      </w:r>
      <w:proofErr w:type="spellStart"/>
      <w:r w:rsidRPr="00BE2B1C">
        <w:rPr>
          <w:lang w:val="en-GB"/>
        </w:rPr>
        <w:t>Domar</w:t>
      </w:r>
      <w:proofErr w:type="spellEnd"/>
      <w:r w:rsidRPr="00BE2B1C">
        <w:rPr>
          <w:lang w:val="en-GB"/>
        </w:rPr>
        <w:t xml:space="preserve">-city size relationship. The problem of omitted variables or any other specification error is irrelevant to us, because we are only interested in the marginal regression of the </w:t>
      </w:r>
      <w:proofErr w:type="spellStart"/>
      <w:r w:rsidRPr="00BE2B1C">
        <w:rPr>
          <w:lang w:val="en-GB"/>
        </w:rPr>
        <w:t>Domar</w:t>
      </w:r>
      <w:proofErr w:type="spellEnd"/>
      <w:r w:rsidRPr="00BE2B1C">
        <w:rPr>
          <w:lang w:val="en-GB"/>
        </w:rPr>
        <w:t xml:space="preserve"> factor on the logarithm of city size. The </w:t>
      </w:r>
      <w:proofErr w:type="spellStart"/>
      <w:r w:rsidRPr="00BE2B1C">
        <w:rPr>
          <w:lang w:val="en-GB"/>
        </w:rPr>
        <w:t>Domar</w:t>
      </w:r>
      <w:proofErr w:type="spellEnd"/>
      <w:r w:rsidRPr="00BE2B1C">
        <w:rPr>
          <w:lang w:val="en-GB"/>
        </w:rPr>
        <w:t>-city size relationship (10) is defined for this marginal distribution.</w:t>
      </w:r>
    </w:p>
    <w:p w:rsidR="00BE2B1C" w:rsidRPr="00BE2B1C" w:rsidRDefault="00BE2B1C" w:rsidP="00BE2B1C">
      <w:pPr>
        <w:spacing w:before="120" w:after="120" w:line="360" w:lineRule="auto"/>
        <w:jc w:val="both"/>
        <w:rPr>
          <w:lang w:val="en-GB"/>
        </w:rPr>
      </w:pPr>
      <w:r w:rsidRPr="00BE2B1C">
        <w:rPr>
          <w:lang w:val="en-GB"/>
        </w:rPr>
        <w:t xml:space="preserve"> Our statistical test for the null hypothesis that the coefficient </w:t>
      </w:r>
      <w:r w:rsidRPr="00BE2B1C">
        <w:rPr>
          <w:rFonts w:ascii="Symbol" w:hAnsi="Symbol"/>
          <w:lang w:val="en-GB"/>
        </w:rPr>
        <w:t></w:t>
      </w:r>
      <w:proofErr w:type="spellStart"/>
      <w:r w:rsidRPr="00BE2B1C">
        <w:rPr>
          <w:vertAlign w:val="subscript"/>
          <w:lang w:val="en-GB"/>
        </w:rPr>
        <w:t>i</w:t>
      </w:r>
      <w:proofErr w:type="spellEnd"/>
      <w:r w:rsidRPr="00BE2B1C">
        <w:rPr>
          <w:lang w:val="en-GB"/>
        </w:rPr>
        <w:t xml:space="preserve"> in equation (10) is zero against the alternative hypothesis that it is different from zero is a simple t-test. For each year t, we perform a regression to estimate equation (10) using the 50 provinces to obtain an estimate of </w:t>
      </w:r>
      <w:r w:rsidRPr="00491AD6">
        <w:rPr>
          <w:rFonts w:ascii="Symbol" w:hAnsi="Symbol"/>
          <w:lang w:val="en-GB"/>
        </w:rPr>
        <w:t></w:t>
      </w:r>
      <w:r w:rsidRPr="00BE2B1C">
        <w:rPr>
          <w:lang w:val="en-GB"/>
        </w:rPr>
        <w:t xml:space="preserve">it. We then use a t-statistic to test the null hypothesis that the estimates </w:t>
      </w:r>
      <w:r w:rsidRPr="00491AD6">
        <w:rPr>
          <w:rFonts w:ascii="Symbol" w:hAnsi="Symbol"/>
          <w:lang w:val="en-GB"/>
        </w:rPr>
        <w:t></w:t>
      </w:r>
      <w:r w:rsidRPr="00491AD6">
        <w:rPr>
          <w:vertAlign w:val="subscript"/>
          <w:lang w:val="en-GB"/>
        </w:rPr>
        <w:t>it</w:t>
      </w:r>
      <w:r w:rsidRPr="00BE2B1C">
        <w:rPr>
          <w:lang w:val="en-GB"/>
        </w:rPr>
        <w:t xml:space="preserve"> of </w:t>
      </w:r>
      <w:r w:rsidRPr="00491AD6">
        <w:rPr>
          <w:rFonts w:ascii="Symbol" w:hAnsi="Symbol"/>
          <w:lang w:val="en-GB"/>
        </w:rPr>
        <w:t></w:t>
      </w:r>
      <w:proofErr w:type="spellStart"/>
      <w:r w:rsidRPr="00491AD6">
        <w:rPr>
          <w:vertAlign w:val="subscript"/>
          <w:lang w:val="en-GB"/>
        </w:rPr>
        <w:t>i</w:t>
      </w:r>
      <w:proofErr w:type="spellEnd"/>
      <w:r w:rsidRPr="00BE2B1C">
        <w:rPr>
          <w:lang w:val="en-GB"/>
        </w:rPr>
        <w:t xml:space="preserve"> come from a population with mean </w:t>
      </w:r>
      <w:r w:rsidRPr="00491AD6">
        <w:rPr>
          <w:rFonts w:ascii="Symbol" w:hAnsi="Symbol"/>
          <w:lang w:val="en-GB"/>
        </w:rPr>
        <w:t></w:t>
      </w:r>
      <w:proofErr w:type="spellStart"/>
      <w:r w:rsidR="00491AD6">
        <w:rPr>
          <w:vertAlign w:val="subscript"/>
          <w:lang w:val="en-GB"/>
        </w:rPr>
        <w:t>i</w:t>
      </w:r>
      <w:proofErr w:type="spellEnd"/>
      <w:r w:rsidRPr="00BE2B1C">
        <w:rPr>
          <w:lang w:val="en-GB"/>
        </w:rPr>
        <w:t xml:space="preserve"> = 0 against the alternative hypothesis that the mean is different from zero. This test is valid provided that the </w:t>
      </w:r>
      <w:r w:rsidRPr="00491AD6">
        <w:rPr>
          <w:rFonts w:ascii="Symbol" w:hAnsi="Symbol"/>
          <w:lang w:val="en-GB"/>
        </w:rPr>
        <w:t></w:t>
      </w:r>
      <w:r w:rsidRPr="00491AD6">
        <w:rPr>
          <w:vertAlign w:val="subscript"/>
          <w:lang w:val="en-GB"/>
        </w:rPr>
        <w:t xml:space="preserve">it </w:t>
      </w:r>
      <w:r w:rsidRPr="00BE2B1C">
        <w:rPr>
          <w:lang w:val="en-GB"/>
        </w:rPr>
        <w:t xml:space="preserve">for </w:t>
      </w:r>
      <w:r w:rsidRPr="00BE2B1C">
        <w:rPr>
          <w:lang w:val="en-GB"/>
        </w:rPr>
        <w:lastRenderedPageBreak/>
        <w:t xml:space="preserve">different times are close to statically independent. Changes in city size, whatever it is measured, are very small, but changes in the </w:t>
      </w:r>
      <w:proofErr w:type="spellStart"/>
      <w:r w:rsidRPr="00BE2B1C">
        <w:rPr>
          <w:lang w:val="en-GB"/>
        </w:rPr>
        <w:t>Domar</w:t>
      </w:r>
      <w:proofErr w:type="spellEnd"/>
      <w:r w:rsidRPr="00BE2B1C">
        <w:rPr>
          <w:lang w:val="en-GB"/>
        </w:rPr>
        <w:t xml:space="preserve"> factor provide enough variation. </w:t>
      </w:r>
    </w:p>
    <w:p w:rsidR="006F24E2" w:rsidRDefault="00BE2B1C" w:rsidP="006F24E2">
      <w:pPr>
        <w:spacing w:before="120" w:after="120" w:line="360" w:lineRule="auto"/>
        <w:jc w:val="both"/>
        <w:rPr>
          <w:lang w:val="en-GB"/>
        </w:rPr>
      </w:pPr>
      <w:r w:rsidRPr="00491AD6">
        <w:rPr>
          <w:lang w:val="en-GB"/>
        </w:rPr>
        <w:t>Tables A1 to A4 show the results of each year regression for agriculture, manufacturing, construction, and services. The coefficients of city size are quite similar for the four constructed urbanization variables for the years analyzed, as expected from the previous literature.</w:t>
      </w:r>
      <w:r w:rsidR="00491AD6" w:rsidRPr="00491AD6">
        <w:rPr>
          <w:lang w:val="en-GB"/>
        </w:rPr>
        <w:t xml:space="preserve"> The t-test we employ is based on the estimates </w:t>
      </w:r>
      <w:r w:rsidR="00491AD6" w:rsidRPr="00491AD6">
        <w:rPr>
          <w:rFonts w:ascii="Symbol" w:hAnsi="Symbol"/>
          <w:lang w:val="en-GB"/>
        </w:rPr>
        <w:t></w:t>
      </w:r>
      <w:proofErr w:type="spellStart"/>
      <w:r w:rsidR="00491AD6" w:rsidRPr="00491AD6">
        <w:rPr>
          <w:vertAlign w:val="subscript"/>
          <w:lang w:val="en-GB"/>
        </w:rPr>
        <w:t>i</w:t>
      </w:r>
      <w:proofErr w:type="spellEnd"/>
      <w:r w:rsidR="00491AD6" w:rsidRPr="00491AD6">
        <w:rPr>
          <w:lang w:val="en-GB"/>
        </w:rPr>
        <w:t xml:space="preserve"> in Tables A1 to A4. </w:t>
      </w:r>
      <w:r w:rsidR="006F24E2" w:rsidRPr="00491AD6">
        <w:rPr>
          <w:lang w:val="en-GB"/>
        </w:rPr>
        <w:t xml:space="preserve">The </w:t>
      </w:r>
      <w:r w:rsidR="006F24E2">
        <w:rPr>
          <w:lang w:val="en-GB"/>
        </w:rPr>
        <w:t xml:space="preserve">estimates and </w:t>
      </w:r>
      <w:r w:rsidR="006F24E2" w:rsidRPr="00491AD6">
        <w:rPr>
          <w:lang w:val="en-GB"/>
        </w:rPr>
        <w:t>results of the t-tests are presented in Table 1.</w:t>
      </w:r>
      <w:r w:rsidR="006F24E2">
        <w:rPr>
          <w:lang w:val="en-GB"/>
        </w:rPr>
        <w:t xml:space="preserve"> </w:t>
      </w:r>
      <w:r w:rsidR="006F24E2" w:rsidRPr="00491AD6">
        <w:rPr>
          <w:lang w:val="en-GB"/>
        </w:rPr>
        <w:t xml:space="preserve">The implied </w:t>
      </w:r>
      <w:proofErr w:type="spellStart"/>
      <w:r w:rsidR="006F24E2" w:rsidRPr="00491AD6">
        <w:rPr>
          <w:lang w:val="en-GB"/>
        </w:rPr>
        <w:t>Domar</w:t>
      </w:r>
      <w:proofErr w:type="spellEnd"/>
      <w:r w:rsidR="006F24E2" w:rsidRPr="00491AD6">
        <w:rPr>
          <w:lang w:val="en-GB"/>
        </w:rPr>
        <w:t xml:space="preserve"> productivity </w:t>
      </w:r>
      <w:r w:rsidR="006F24E2">
        <w:rPr>
          <w:lang w:val="en-GB"/>
        </w:rPr>
        <w:t>deviation</w:t>
      </w:r>
      <w:r w:rsidR="006F24E2" w:rsidRPr="00491AD6">
        <w:rPr>
          <w:lang w:val="en-GB"/>
        </w:rPr>
        <w:t xml:space="preserve"> is measured with respect to doubling city size.</w:t>
      </w:r>
    </w:p>
    <w:p w:rsidR="00491AD6" w:rsidRPr="00491AD6" w:rsidRDefault="00491AD6" w:rsidP="00491AD6">
      <w:pPr>
        <w:pStyle w:val="ICABRPictures-Tables"/>
        <w:rPr>
          <w:rFonts w:ascii="Times New Roman" w:hAnsi="Times New Roman"/>
          <w:sz w:val="24"/>
          <w:szCs w:val="24"/>
        </w:rPr>
      </w:pPr>
      <w:r w:rsidRPr="00491AD6">
        <w:rPr>
          <w:rFonts w:ascii="Times New Roman" w:hAnsi="Times New Roman"/>
          <w:sz w:val="24"/>
          <w:szCs w:val="24"/>
        </w:rPr>
        <w:t>Tab</w:t>
      </w:r>
      <w:r w:rsidR="0087399A">
        <w:rPr>
          <w:rFonts w:ascii="Times New Roman" w:hAnsi="Times New Roman"/>
          <w:sz w:val="24"/>
          <w:szCs w:val="24"/>
        </w:rPr>
        <w:t xml:space="preserve">le 1. </w:t>
      </w:r>
      <w:r w:rsidRPr="00491AD6">
        <w:rPr>
          <w:rFonts w:ascii="Times New Roman" w:hAnsi="Times New Roman"/>
          <w:sz w:val="24"/>
          <w:szCs w:val="24"/>
        </w:rPr>
        <w:t xml:space="preserve"> </w:t>
      </w:r>
      <w:proofErr w:type="spellStart"/>
      <w:r w:rsidRPr="00491AD6">
        <w:rPr>
          <w:rFonts w:ascii="Times New Roman" w:hAnsi="Times New Roman"/>
          <w:sz w:val="24"/>
          <w:szCs w:val="24"/>
        </w:rPr>
        <w:t>Domar</w:t>
      </w:r>
      <w:proofErr w:type="spellEnd"/>
      <w:r w:rsidRPr="00491AD6">
        <w:rPr>
          <w:rFonts w:ascii="Times New Roman" w:hAnsi="Times New Roman"/>
          <w:sz w:val="24"/>
          <w:szCs w:val="24"/>
        </w:rPr>
        <w:t xml:space="preserve"> Factor versus Province Size. t-Tests.</w:t>
      </w:r>
    </w:p>
    <w:tbl>
      <w:tblPr>
        <w:tblW w:w="8760" w:type="dxa"/>
        <w:tblInd w:w="55" w:type="dxa"/>
        <w:tblCellMar>
          <w:left w:w="70" w:type="dxa"/>
          <w:right w:w="70" w:type="dxa"/>
        </w:tblCellMar>
        <w:tblLook w:val="04A0"/>
      </w:tblPr>
      <w:tblGrid>
        <w:gridCol w:w="2175"/>
        <w:gridCol w:w="1661"/>
        <w:gridCol w:w="1154"/>
        <w:gridCol w:w="1527"/>
        <w:gridCol w:w="2243"/>
      </w:tblGrid>
      <w:tr w:rsidR="00491AD6" w:rsidRPr="00491AD6" w:rsidTr="008A76D0">
        <w:trPr>
          <w:trHeight w:val="300"/>
        </w:trPr>
        <w:tc>
          <w:tcPr>
            <w:tcW w:w="2220" w:type="dxa"/>
            <w:tcBorders>
              <w:top w:val="nil"/>
              <w:left w:val="nil"/>
              <w:bottom w:val="nil"/>
              <w:right w:val="nil"/>
            </w:tcBorders>
            <w:shd w:val="clear" w:color="auto" w:fill="auto"/>
            <w:hideMark/>
          </w:tcPr>
          <w:p w:rsidR="00491AD6" w:rsidRPr="00C717DA" w:rsidRDefault="00491AD6" w:rsidP="008A76D0">
            <w:pPr>
              <w:rPr>
                <w:b/>
                <w:i/>
                <w:iCs/>
                <w:color w:val="000000"/>
              </w:rPr>
            </w:pPr>
          </w:p>
        </w:tc>
        <w:tc>
          <w:tcPr>
            <w:tcW w:w="1480" w:type="dxa"/>
            <w:tcBorders>
              <w:top w:val="nil"/>
              <w:left w:val="nil"/>
              <w:bottom w:val="nil"/>
              <w:right w:val="nil"/>
            </w:tcBorders>
            <w:shd w:val="clear" w:color="auto" w:fill="auto"/>
            <w:hideMark/>
          </w:tcPr>
          <w:p w:rsidR="00491AD6" w:rsidRPr="00491AD6" w:rsidRDefault="00C717DA" w:rsidP="008A76D0">
            <w:pPr>
              <w:rPr>
                <w:color w:val="000000"/>
              </w:rPr>
            </w:pPr>
            <w:proofErr w:type="spellStart"/>
            <w:r w:rsidRPr="00C717DA">
              <w:rPr>
                <w:b/>
                <w:i/>
                <w:iCs/>
                <w:color w:val="000000"/>
              </w:rPr>
              <w:t>Agriculture</w:t>
            </w:r>
            <w:proofErr w:type="spellEnd"/>
          </w:p>
        </w:tc>
        <w:tc>
          <w:tcPr>
            <w:tcW w:w="1180" w:type="dxa"/>
            <w:tcBorders>
              <w:top w:val="nil"/>
              <w:left w:val="nil"/>
              <w:bottom w:val="nil"/>
              <w:right w:val="nil"/>
            </w:tcBorders>
            <w:shd w:val="clear" w:color="auto" w:fill="auto"/>
            <w:hideMark/>
          </w:tcPr>
          <w:p w:rsidR="00491AD6" w:rsidRPr="00491AD6" w:rsidRDefault="00491AD6" w:rsidP="008A76D0">
            <w:pPr>
              <w:rPr>
                <w:color w:val="000000"/>
              </w:rPr>
            </w:pPr>
          </w:p>
        </w:tc>
        <w:tc>
          <w:tcPr>
            <w:tcW w:w="1560" w:type="dxa"/>
            <w:tcBorders>
              <w:top w:val="nil"/>
              <w:left w:val="nil"/>
              <w:bottom w:val="nil"/>
              <w:right w:val="nil"/>
            </w:tcBorders>
            <w:shd w:val="clear" w:color="auto" w:fill="auto"/>
            <w:hideMark/>
          </w:tcPr>
          <w:p w:rsidR="00491AD6" w:rsidRPr="00491AD6" w:rsidRDefault="00491AD6" w:rsidP="008A76D0">
            <w:pPr>
              <w:rPr>
                <w:color w:val="000000"/>
              </w:rPr>
            </w:pPr>
          </w:p>
        </w:tc>
        <w:tc>
          <w:tcPr>
            <w:tcW w:w="2320" w:type="dxa"/>
            <w:tcBorders>
              <w:top w:val="nil"/>
              <w:left w:val="nil"/>
              <w:bottom w:val="nil"/>
              <w:right w:val="nil"/>
            </w:tcBorders>
            <w:shd w:val="clear" w:color="auto" w:fill="auto"/>
            <w:hideMark/>
          </w:tcPr>
          <w:p w:rsidR="00491AD6" w:rsidRPr="00491AD6" w:rsidRDefault="00491AD6" w:rsidP="008A76D0">
            <w:pPr>
              <w:rPr>
                <w:color w:val="000000"/>
              </w:rPr>
            </w:pPr>
          </w:p>
        </w:tc>
      </w:tr>
      <w:tr w:rsidR="00491AD6" w:rsidRPr="00491AD6" w:rsidTr="008A76D0">
        <w:trPr>
          <w:trHeight w:val="300"/>
        </w:trPr>
        <w:tc>
          <w:tcPr>
            <w:tcW w:w="2220" w:type="dxa"/>
            <w:tcBorders>
              <w:top w:val="nil"/>
              <w:left w:val="nil"/>
              <w:bottom w:val="nil"/>
              <w:right w:val="nil"/>
            </w:tcBorders>
            <w:shd w:val="clear" w:color="auto" w:fill="auto"/>
            <w:hideMark/>
          </w:tcPr>
          <w:p w:rsidR="00491AD6" w:rsidRPr="00491AD6" w:rsidRDefault="00491AD6" w:rsidP="008A76D0">
            <w:pPr>
              <w:rPr>
                <w:b/>
                <w:bCs/>
                <w:color w:val="000000"/>
              </w:rPr>
            </w:pPr>
            <w:proofErr w:type="spellStart"/>
            <w:r w:rsidRPr="00491AD6">
              <w:rPr>
                <w:b/>
                <w:bCs/>
                <w:color w:val="000000"/>
              </w:rPr>
              <w:t>Size</w:t>
            </w:r>
            <w:proofErr w:type="spellEnd"/>
            <w:r w:rsidRPr="00491AD6">
              <w:rPr>
                <w:b/>
                <w:bCs/>
                <w:color w:val="000000"/>
              </w:rPr>
              <w:t xml:space="preserve"> </w:t>
            </w:r>
            <w:proofErr w:type="spellStart"/>
            <w:r w:rsidRPr="00491AD6">
              <w:rPr>
                <w:b/>
                <w:bCs/>
                <w:color w:val="000000"/>
              </w:rPr>
              <w:t>measure</w:t>
            </w:r>
            <w:proofErr w:type="spellEnd"/>
          </w:p>
        </w:tc>
        <w:tc>
          <w:tcPr>
            <w:tcW w:w="1480" w:type="dxa"/>
            <w:tcBorders>
              <w:top w:val="nil"/>
              <w:left w:val="nil"/>
              <w:bottom w:val="nil"/>
              <w:right w:val="nil"/>
            </w:tcBorders>
            <w:shd w:val="clear" w:color="auto" w:fill="auto"/>
            <w:hideMark/>
          </w:tcPr>
          <w:p w:rsidR="00491AD6" w:rsidRPr="00491AD6" w:rsidRDefault="00491AD6" w:rsidP="008A76D0">
            <w:pPr>
              <w:jc w:val="center"/>
              <w:rPr>
                <w:b/>
                <w:bCs/>
                <w:color w:val="000000"/>
              </w:rPr>
            </w:pPr>
            <w:proofErr w:type="spellStart"/>
            <w:r w:rsidRPr="00491AD6">
              <w:rPr>
                <w:b/>
                <w:bCs/>
                <w:color w:val="000000"/>
              </w:rPr>
              <w:t>Coeff</w:t>
            </w:r>
            <w:proofErr w:type="spellEnd"/>
          </w:p>
        </w:tc>
        <w:tc>
          <w:tcPr>
            <w:tcW w:w="1180" w:type="dxa"/>
            <w:tcBorders>
              <w:top w:val="nil"/>
              <w:left w:val="nil"/>
              <w:bottom w:val="nil"/>
              <w:right w:val="nil"/>
            </w:tcBorders>
            <w:shd w:val="clear" w:color="auto" w:fill="auto"/>
            <w:hideMark/>
          </w:tcPr>
          <w:p w:rsidR="00491AD6" w:rsidRPr="00491AD6" w:rsidRDefault="00491AD6" w:rsidP="008A76D0">
            <w:pPr>
              <w:jc w:val="center"/>
              <w:rPr>
                <w:b/>
                <w:bCs/>
                <w:color w:val="000000"/>
              </w:rPr>
            </w:pPr>
            <w:proofErr w:type="spellStart"/>
            <w:r w:rsidRPr="00491AD6">
              <w:rPr>
                <w:b/>
                <w:bCs/>
                <w:color w:val="000000"/>
              </w:rPr>
              <w:t>Std</w:t>
            </w:r>
            <w:proofErr w:type="spellEnd"/>
            <w:r w:rsidRPr="00491AD6">
              <w:rPr>
                <w:b/>
                <w:bCs/>
                <w:color w:val="000000"/>
              </w:rPr>
              <w:t xml:space="preserve"> </w:t>
            </w:r>
            <w:proofErr w:type="spellStart"/>
            <w:r w:rsidRPr="00491AD6">
              <w:rPr>
                <w:b/>
                <w:bCs/>
                <w:color w:val="000000"/>
              </w:rPr>
              <w:t>Dev</w:t>
            </w:r>
            <w:proofErr w:type="spellEnd"/>
          </w:p>
        </w:tc>
        <w:tc>
          <w:tcPr>
            <w:tcW w:w="1560" w:type="dxa"/>
            <w:tcBorders>
              <w:top w:val="nil"/>
              <w:left w:val="nil"/>
              <w:bottom w:val="nil"/>
              <w:right w:val="nil"/>
            </w:tcBorders>
            <w:shd w:val="clear" w:color="auto" w:fill="auto"/>
            <w:hideMark/>
          </w:tcPr>
          <w:p w:rsidR="00491AD6" w:rsidRPr="00491AD6" w:rsidRDefault="00491AD6" w:rsidP="008A76D0">
            <w:pPr>
              <w:jc w:val="center"/>
              <w:rPr>
                <w:b/>
                <w:bCs/>
                <w:color w:val="000000"/>
              </w:rPr>
            </w:pPr>
            <w:r w:rsidRPr="00491AD6">
              <w:rPr>
                <w:b/>
                <w:bCs/>
                <w:color w:val="000000"/>
              </w:rPr>
              <w:t>t-</w:t>
            </w:r>
            <w:proofErr w:type="spellStart"/>
            <w:r w:rsidRPr="00491AD6">
              <w:rPr>
                <w:b/>
                <w:bCs/>
                <w:color w:val="000000"/>
              </w:rPr>
              <w:t>Student</w:t>
            </w:r>
            <w:proofErr w:type="spellEnd"/>
          </w:p>
        </w:tc>
        <w:tc>
          <w:tcPr>
            <w:tcW w:w="2320" w:type="dxa"/>
            <w:tcBorders>
              <w:top w:val="nil"/>
              <w:left w:val="nil"/>
              <w:bottom w:val="nil"/>
              <w:right w:val="nil"/>
            </w:tcBorders>
            <w:shd w:val="clear" w:color="auto" w:fill="auto"/>
            <w:hideMark/>
          </w:tcPr>
          <w:p w:rsidR="00491AD6" w:rsidRPr="00491AD6" w:rsidRDefault="00491AD6" w:rsidP="008A76D0">
            <w:pPr>
              <w:jc w:val="center"/>
              <w:rPr>
                <w:b/>
                <w:bCs/>
                <w:color w:val="000000"/>
              </w:rPr>
            </w:pPr>
            <w:r w:rsidRPr="00491AD6">
              <w:rPr>
                <w:b/>
                <w:bCs/>
                <w:color w:val="000000"/>
              </w:rPr>
              <w:t xml:space="preserve"> Domar </w:t>
            </w:r>
            <w:proofErr w:type="spellStart"/>
            <w:r w:rsidR="0072392B">
              <w:rPr>
                <w:b/>
                <w:bCs/>
                <w:color w:val="000000"/>
              </w:rPr>
              <w:t>bias</w:t>
            </w:r>
            <w:proofErr w:type="spellEnd"/>
          </w:p>
        </w:tc>
      </w:tr>
      <w:tr w:rsidR="00491AD6" w:rsidRPr="00491AD6" w:rsidTr="008A76D0">
        <w:trPr>
          <w:trHeight w:val="300"/>
        </w:trPr>
        <w:tc>
          <w:tcPr>
            <w:tcW w:w="2220" w:type="dxa"/>
            <w:tcBorders>
              <w:top w:val="nil"/>
              <w:left w:val="nil"/>
              <w:bottom w:val="nil"/>
              <w:right w:val="nil"/>
            </w:tcBorders>
            <w:shd w:val="clear" w:color="auto" w:fill="auto"/>
            <w:hideMark/>
          </w:tcPr>
          <w:p w:rsidR="00491AD6" w:rsidRPr="00C717DA" w:rsidRDefault="00491AD6" w:rsidP="008A76D0">
            <w:pPr>
              <w:rPr>
                <w:bCs/>
                <w:color w:val="000000"/>
              </w:rPr>
            </w:pPr>
            <w:proofErr w:type="spellStart"/>
            <w:r w:rsidRPr="00C717DA">
              <w:rPr>
                <w:bCs/>
                <w:color w:val="000000"/>
              </w:rPr>
              <w:t>Population</w:t>
            </w:r>
            <w:proofErr w:type="spellEnd"/>
          </w:p>
        </w:tc>
        <w:tc>
          <w:tcPr>
            <w:tcW w:w="14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0.040</w:t>
            </w:r>
          </w:p>
        </w:tc>
        <w:tc>
          <w:tcPr>
            <w:tcW w:w="11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0.013</w:t>
            </w:r>
          </w:p>
        </w:tc>
        <w:tc>
          <w:tcPr>
            <w:tcW w:w="156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9.79</w:t>
            </w:r>
          </w:p>
        </w:tc>
        <w:tc>
          <w:tcPr>
            <w:tcW w:w="232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2.7%</w:t>
            </w:r>
          </w:p>
        </w:tc>
      </w:tr>
      <w:tr w:rsidR="00491AD6" w:rsidRPr="00491AD6" w:rsidTr="008A76D0">
        <w:trPr>
          <w:trHeight w:val="300"/>
        </w:trPr>
        <w:tc>
          <w:tcPr>
            <w:tcW w:w="2220" w:type="dxa"/>
            <w:tcBorders>
              <w:top w:val="nil"/>
              <w:left w:val="nil"/>
              <w:bottom w:val="nil"/>
              <w:right w:val="nil"/>
            </w:tcBorders>
            <w:shd w:val="clear" w:color="auto" w:fill="auto"/>
            <w:hideMark/>
          </w:tcPr>
          <w:p w:rsidR="00491AD6" w:rsidRPr="00C717DA" w:rsidRDefault="00491AD6" w:rsidP="008A76D0">
            <w:pPr>
              <w:rPr>
                <w:bCs/>
                <w:color w:val="000000"/>
              </w:rPr>
            </w:pPr>
            <w:r w:rsidRPr="00C717DA">
              <w:rPr>
                <w:bCs/>
                <w:color w:val="000000"/>
              </w:rPr>
              <w:t xml:space="preserve">Pop. </w:t>
            </w:r>
            <w:proofErr w:type="spellStart"/>
            <w:r w:rsidRPr="00C717DA">
              <w:rPr>
                <w:bCs/>
                <w:color w:val="000000"/>
              </w:rPr>
              <w:t>Density</w:t>
            </w:r>
            <w:proofErr w:type="spellEnd"/>
          </w:p>
        </w:tc>
        <w:tc>
          <w:tcPr>
            <w:tcW w:w="14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0.029</w:t>
            </w:r>
          </w:p>
        </w:tc>
        <w:tc>
          <w:tcPr>
            <w:tcW w:w="11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0.010</w:t>
            </w:r>
          </w:p>
        </w:tc>
        <w:tc>
          <w:tcPr>
            <w:tcW w:w="156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9.66</w:t>
            </w:r>
          </w:p>
        </w:tc>
        <w:tc>
          <w:tcPr>
            <w:tcW w:w="232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2.0%</w:t>
            </w:r>
          </w:p>
        </w:tc>
      </w:tr>
      <w:tr w:rsidR="00491AD6" w:rsidRPr="00491AD6" w:rsidTr="008A76D0">
        <w:trPr>
          <w:trHeight w:val="300"/>
        </w:trPr>
        <w:tc>
          <w:tcPr>
            <w:tcW w:w="2220" w:type="dxa"/>
            <w:tcBorders>
              <w:top w:val="nil"/>
              <w:left w:val="nil"/>
              <w:bottom w:val="nil"/>
              <w:right w:val="nil"/>
            </w:tcBorders>
            <w:shd w:val="clear" w:color="auto" w:fill="auto"/>
            <w:hideMark/>
          </w:tcPr>
          <w:p w:rsidR="00491AD6" w:rsidRPr="00C717DA" w:rsidRDefault="00491AD6" w:rsidP="008A76D0">
            <w:pPr>
              <w:rPr>
                <w:bCs/>
                <w:color w:val="000000"/>
              </w:rPr>
            </w:pPr>
            <w:proofErr w:type="spellStart"/>
            <w:r w:rsidRPr="00C717DA">
              <w:rPr>
                <w:bCs/>
                <w:color w:val="000000"/>
              </w:rPr>
              <w:t>Employment</w:t>
            </w:r>
            <w:proofErr w:type="spellEnd"/>
          </w:p>
        </w:tc>
        <w:tc>
          <w:tcPr>
            <w:tcW w:w="14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0.054</w:t>
            </w:r>
          </w:p>
        </w:tc>
        <w:tc>
          <w:tcPr>
            <w:tcW w:w="11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0.013</w:t>
            </w:r>
          </w:p>
        </w:tc>
        <w:tc>
          <w:tcPr>
            <w:tcW w:w="156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13.90</w:t>
            </w:r>
          </w:p>
        </w:tc>
        <w:tc>
          <w:tcPr>
            <w:tcW w:w="232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3.8%</w:t>
            </w:r>
          </w:p>
        </w:tc>
      </w:tr>
      <w:tr w:rsidR="00491AD6" w:rsidRPr="00491AD6" w:rsidTr="008A76D0">
        <w:trPr>
          <w:trHeight w:val="300"/>
        </w:trPr>
        <w:tc>
          <w:tcPr>
            <w:tcW w:w="2220" w:type="dxa"/>
            <w:tcBorders>
              <w:top w:val="nil"/>
              <w:left w:val="nil"/>
              <w:bottom w:val="nil"/>
              <w:right w:val="nil"/>
            </w:tcBorders>
            <w:shd w:val="clear" w:color="auto" w:fill="auto"/>
            <w:hideMark/>
          </w:tcPr>
          <w:p w:rsidR="00491AD6" w:rsidRPr="00C717DA" w:rsidRDefault="00491AD6" w:rsidP="008A76D0">
            <w:pPr>
              <w:rPr>
                <w:bCs/>
                <w:color w:val="000000"/>
              </w:rPr>
            </w:pPr>
            <w:proofErr w:type="spellStart"/>
            <w:r w:rsidRPr="00C717DA">
              <w:rPr>
                <w:bCs/>
                <w:color w:val="000000"/>
              </w:rPr>
              <w:t>Empl</w:t>
            </w:r>
            <w:proofErr w:type="spellEnd"/>
            <w:r w:rsidRPr="00C717DA">
              <w:rPr>
                <w:bCs/>
                <w:color w:val="000000"/>
              </w:rPr>
              <w:t xml:space="preserve">. </w:t>
            </w:r>
            <w:proofErr w:type="spellStart"/>
            <w:r w:rsidRPr="00C717DA">
              <w:rPr>
                <w:bCs/>
                <w:color w:val="000000"/>
              </w:rPr>
              <w:t>Density</w:t>
            </w:r>
            <w:proofErr w:type="spellEnd"/>
          </w:p>
        </w:tc>
        <w:tc>
          <w:tcPr>
            <w:tcW w:w="14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0.036</w:t>
            </w:r>
          </w:p>
        </w:tc>
        <w:tc>
          <w:tcPr>
            <w:tcW w:w="11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0.009</w:t>
            </w:r>
          </w:p>
        </w:tc>
        <w:tc>
          <w:tcPr>
            <w:tcW w:w="156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12.92</w:t>
            </w:r>
          </w:p>
        </w:tc>
        <w:tc>
          <w:tcPr>
            <w:tcW w:w="232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2.5%</w:t>
            </w:r>
          </w:p>
        </w:tc>
      </w:tr>
      <w:tr w:rsidR="00491AD6" w:rsidRPr="00491AD6" w:rsidTr="008A76D0">
        <w:trPr>
          <w:trHeight w:val="300"/>
        </w:trPr>
        <w:tc>
          <w:tcPr>
            <w:tcW w:w="2220" w:type="dxa"/>
            <w:tcBorders>
              <w:top w:val="nil"/>
              <w:left w:val="nil"/>
              <w:bottom w:val="nil"/>
              <w:right w:val="nil"/>
            </w:tcBorders>
            <w:shd w:val="clear" w:color="auto" w:fill="auto"/>
            <w:hideMark/>
          </w:tcPr>
          <w:p w:rsidR="00491AD6" w:rsidRPr="00C717DA" w:rsidRDefault="00491AD6" w:rsidP="008A76D0">
            <w:pPr>
              <w:rPr>
                <w:b/>
                <w:i/>
                <w:iCs/>
                <w:color w:val="000000"/>
              </w:rPr>
            </w:pPr>
          </w:p>
        </w:tc>
        <w:tc>
          <w:tcPr>
            <w:tcW w:w="1480" w:type="dxa"/>
            <w:tcBorders>
              <w:top w:val="nil"/>
              <w:left w:val="nil"/>
              <w:bottom w:val="nil"/>
              <w:right w:val="nil"/>
            </w:tcBorders>
            <w:shd w:val="clear" w:color="auto" w:fill="auto"/>
            <w:hideMark/>
          </w:tcPr>
          <w:p w:rsidR="00491AD6" w:rsidRPr="00491AD6" w:rsidRDefault="00C717DA" w:rsidP="008A76D0">
            <w:pPr>
              <w:jc w:val="center"/>
              <w:rPr>
                <w:color w:val="000000"/>
              </w:rPr>
            </w:pPr>
            <w:proofErr w:type="spellStart"/>
            <w:r w:rsidRPr="00C717DA">
              <w:rPr>
                <w:b/>
                <w:i/>
                <w:iCs/>
                <w:color w:val="000000"/>
              </w:rPr>
              <w:t>Manufacturing</w:t>
            </w:r>
            <w:proofErr w:type="spellEnd"/>
          </w:p>
        </w:tc>
        <w:tc>
          <w:tcPr>
            <w:tcW w:w="1180" w:type="dxa"/>
            <w:tcBorders>
              <w:top w:val="nil"/>
              <w:left w:val="nil"/>
              <w:bottom w:val="nil"/>
              <w:right w:val="nil"/>
            </w:tcBorders>
            <w:shd w:val="clear" w:color="auto" w:fill="auto"/>
            <w:hideMark/>
          </w:tcPr>
          <w:p w:rsidR="00491AD6" w:rsidRPr="00491AD6" w:rsidRDefault="00491AD6" w:rsidP="008A76D0">
            <w:pPr>
              <w:jc w:val="center"/>
              <w:rPr>
                <w:color w:val="000000"/>
              </w:rPr>
            </w:pPr>
          </w:p>
        </w:tc>
        <w:tc>
          <w:tcPr>
            <w:tcW w:w="1560" w:type="dxa"/>
            <w:tcBorders>
              <w:top w:val="nil"/>
              <w:left w:val="nil"/>
              <w:bottom w:val="nil"/>
              <w:right w:val="nil"/>
            </w:tcBorders>
            <w:shd w:val="clear" w:color="auto" w:fill="auto"/>
            <w:hideMark/>
          </w:tcPr>
          <w:p w:rsidR="00491AD6" w:rsidRPr="00491AD6" w:rsidRDefault="00491AD6" w:rsidP="008A76D0">
            <w:pPr>
              <w:jc w:val="center"/>
              <w:rPr>
                <w:color w:val="000000"/>
              </w:rPr>
            </w:pPr>
          </w:p>
        </w:tc>
        <w:tc>
          <w:tcPr>
            <w:tcW w:w="2320" w:type="dxa"/>
            <w:tcBorders>
              <w:top w:val="nil"/>
              <w:left w:val="nil"/>
              <w:bottom w:val="nil"/>
              <w:right w:val="nil"/>
            </w:tcBorders>
            <w:shd w:val="clear" w:color="auto" w:fill="auto"/>
            <w:hideMark/>
          </w:tcPr>
          <w:p w:rsidR="00491AD6" w:rsidRPr="00491AD6" w:rsidRDefault="00491AD6" w:rsidP="008A76D0">
            <w:pPr>
              <w:jc w:val="center"/>
              <w:rPr>
                <w:b/>
                <w:bCs/>
                <w:color w:val="000000"/>
              </w:rPr>
            </w:pPr>
          </w:p>
        </w:tc>
      </w:tr>
      <w:tr w:rsidR="00491AD6" w:rsidRPr="00491AD6" w:rsidTr="008A76D0">
        <w:trPr>
          <w:trHeight w:val="300"/>
        </w:trPr>
        <w:tc>
          <w:tcPr>
            <w:tcW w:w="2220" w:type="dxa"/>
            <w:tcBorders>
              <w:top w:val="nil"/>
              <w:left w:val="nil"/>
              <w:bottom w:val="nil"/>
              <w:right w:val="nil"/>
            </w:tcBorders>
            <w:shd w:val="clear" w:color="auto" w:fill="auto"/>
            <w:hideMark/>
          </w:tcPr>
          <w:p w:rsidR="00491AD6" w:rsidRPr="00491AD6" w:rsidRDefault="00491AD6" w:rsidP="008A76D0">
            <w:pPr>
              <w:rPr>
                <w:b/>
                <w:bCs/>
                <w:color w:val="000000"/>
              </w:rPr>
            </w:pPr>
            <w:proofErr w:type="spellStart"/>
            <w:r w:rsidRPr="00491AD6">
              <w:rPr>
                <w:b/>
                <w:bCs/>
                <w:color w:val="000000"/>
              </w:rPr>
              <w:t>Size</w:t>
            </w:r>
            <w:proofErr w:type="spellEnd"/>
            <w:r w:rsidRPr="00491AD6">
              <w:rPr>
                <w:b/>
                <w:bCs/>
                <w:color w:val="000000"/>
              </w:rPr>
              <w:t xml:space="preserve"> </w:t>
            </w:r>
            <w:proofErr w:type="spellStart"/>
            <w:r w:rsidRPr="00491AD6">
              <w:rPr>
                <w:b/>
                <w:bCs/>
                <w:color w:val="000000"/>
              </w:rPr>
              <w:t>measure</w:t>
            </w:r>
            <w:proofErr w:type="spellEnd"/>
          </w:p>
        </w:tc>
        <w:tc>
          <w:tcPr>
            <w:tcW w:w="1480" w:type="dxa"/>
            <w:tcBorders>
              <w:top w:val="nil"/>
              <w:left w:val="nil"/>
              <w:bottom w:val="nil"/>
              <w:right w:val="nil"/>
            </w:tcBorders>
            <w:shd w:val="clear" w:color="auto" w:fill="auto"/>
            <w:hideMark/>
          </w:tcPr>
          <w:p w:rsidR="00491AD6" w:rsidRPr="00491AD6" w:rsidRDefault="00491AD6" w:rsidP="008A76D0">
            <w:pPr>
              <w:jc w:val="center"/>
              <w:rPr>
                <w:b/>
                <w:bCs/>
                <w:color w:val="000000"/>
              </w:rPr>
            </w:pPr>
            <w:proofErr w:type="spellStart"/>
            <w:r w:rsidRPr="00491AD6">
              <w:rPr>
                <w:b/>
                <w:bCs/>
                <w:color w:val="000000"/>
              </w:rPr>
              <w:t>Coeff</w:t>
            </w:r>
            <w:proofErr w:type="spellEnd"/>
          </w:p>
        </w:tc>
        <w:tc>
          <w:tcPr>
            <w:tcW w:w="1180" w:type="dxa"/>
            <w:tcBorders>
              <w:top w:val="nil"/>
              <w:left w:val="nil"/>
              <w:bottom w:val="nil"/>
              <w:right w:val="nil"/>
            </w:tcBorders>
            <w:shd w:val="clear" w:color="auto" w:fill="auto"/>
            <w:hideMark/>
          </w:tcPr>
          <w:p w:rsidR="00491AD6" w:rsidRPr="00491AD6" w:rsidRDefault="00491AD6" w:rsidP="008A76D0">
            <w:pPr>
              <w:jc w:val="center"/>
              <w:rPr>
                <w:b/>
                <w:bCs/>
                <w:color w:val="000000"/>
              </w:rPr>
            </w:pPr>
            <w:proofErr w:type="spellStart"/>
            <w:r w:rsidRPr="00491AD6">
              <w:rPr>
                <w:b/>
                <w:bCs/>
                <w:color w:val="000000"/>
              </w:rPr>
              <w:t>Std</w:t>
            </w:r>
            <w:proofErr w:type="spellEnd"/>
            <w:r w:rsidRPr="00491AD6">
              <w:rPr>
                <w:b/>
                <w:bCs/>
                <w:color w:val="000000"/>
              </w:rPr>
              <w:t xml:space="preserve"> </w:t>
            </w:r>
            <w:proofErr w:type="spellStart"/>
            <w:r w:rsidRPr="00491AD6">
              <w:rPr>
                <w:b/>
                <w:bCs/>
                <w:color w:val="000000"/>
              </w:rPr>
              <w:t>Dev</w:t>
            </w:r>
            <w:proofErr w:type="spellEnd"/>
          </w:p>
        </w:tc>
        <w:tc>
          <w:tcPr>
            <w:tcW w:w="1560" w:type="dxa"/>
            <w:tcBorders>
              <w:top w:val="nil"/>
              <w:left w:val="nil"/>
              <w:bottom w:val="nil"/>
              <w:right w:val="nil"/>
            </w:tcBorders>
            <w:shd w:val="clear" w:color="auto" w:fill="auto"/>
            <w:hideMark/>
          </w:tcPr>
          <w:p w:rsidR="00491AD6" w:rsidRPr="00491AD6" w:rsidRDefault="00491AD6" w:rsidP="008A76D0">
            <w:pPr>
              <w:jc w:val="center"/>
              <w:rPr>
                <w:b/>
                <w:bCs/>
                <w:color w:val="000000"/>
              </w:rPr>
            </w:pPr>
            <w:r w:rsidRPr="00491AD6">
              <w:rPr>
                <w:b/>
                <w:bCs/>
                <w:color w:val="000000"/>
              </w:rPr>
              <w:t>t-</w:t>
            </w:r>
            <w:proofErr w:type="spellStart"/>
            <w:r w:rsidRPr="00491AD6">
              <w:rPr>
                <w:b/>
                <w:bCs/>
                <w:color w:val="000000"/>
              </w:rPr>
              <w:t>Student</w:t>
            </w:r>
            <w:proofErr w:type="spellEnd"/>
          </w:p>
        </w:tc>
        <w:tc>
          <w:tcPr>
            <w:tcW w:w="2320" w:type="dxa"/>
            <w:tcBorders>
              <w:top w:val="nil"/>
              <w:left w:val="nil"/>
              <w:bottom w:val="nil"/>
              <w:right w:val="nil"/>
            </w:tcBorders>
            <w:shd w:val="clear" w:color="auto" w:fill="auto"/>
            <w:hideMark/>
          </w:tcPr>
          <w:p w:rsidR="00491AD6" w:rsidRPr="00491AD6" w:rsidRDefault="00491AD6" w:rsidP="008A76D0">
            <w:pPr>
              <w:jc w:val="center"/>
              <w:rPr>
                <w:b/>
                <w:bCs/>
                <w:color w:val="000000"/>
              </w:rPr>
            </w:pPr>
            <w:r w:rsidRPr="00491AD6">
              <w:rPr>
                <w:b/>
                <w:bCs/>
                <w:color w:val="000000"/>
              </w:rPr>
              <w:t xml:space="preserve"> Domar </w:t>
            </w:r>
            <w:proofErr w:type="spellStart"/>
            <w:r w:rsidR="0072392B">
              <w:rPr>
                <w:b/>
                <w:bCs/>
                <w:color w:val="000000"/>
              </w:rPr>
              <w:t>bias</w:t>
            </w:r>
            <w:proofErr w:type="spellEnd"/>
          </w:p>
        </w:tc>
      </w:tr>
      <w:tr w:rsidR="00491AD6" w:rsidRPr="00491AD6" w:rsidTr="008A76D0">
        <w:trPr>
          <w:trHeight w:val="300"/>
        </w:trPr>
        <w:tc>
          <w:tcPr>
            <w:tcW w:w="2220" w:type="dxa"/>
            <w:tcBorders>
              <w:top w:val="nil"/>
              <w:left w:val="nil"/>
              <w:bottom w:val="nil"/>
              <w:right w:val="nil"/>
            </w:tcBorders>
            <w:shd w:val="clear" w:color="auto" w:fill="auto"/>
            <w:hideMark/>
          </w:tcPr>
          <w:p w:rsidR="00491AD6" w:rsidRPr="00C717DA" w:rsidRDefault="00491AD6" w:rsidP="008A76D0">
            <w:pPr>
              <w:rPr>
                <w:bCs/>
                <w:color w:val="000000"/>
              </w:rPr>
            </w:pPr>
            <w:proofErr w:type="spellStart"/>
            <w:r w:rsidRPr="00C717DA">
              <w:rPr>
                <w:bCs/>
                <w:color w:val="000000"/>
              </w:rPr>
              <w:t>Population</w:t>
            </w:r>
            <w:proofErr w:type="spellEnd"/>
          </w:p>
        </w:tc>
        <w:tc>
          <w:tcPr>
            <w:tcW w:w="14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-0.030</w:t>
            </w:r>
          </w:p>
        </w:tc>
        <w:tc>
          <w:tcPr>
            <w:tcW w:w="11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0.015</w:t>
            </w:r>
          </w:p>
        </w:tc>
        <w:tc>
          <w:tcPr>
            <w:tcW w:w="156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-6.59</w:t>
            </w:r>
          </w:p>
        </w:tc>
        <w:tc>
          <w:tcPr>
            <w:tcW w:w="232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-2.1%</w:t>
            </w:r>
          </w:p>
        </w:tc>
      </w:tr>
      <w:tr w:rsidR="00491AD6" w:rsidRPr="00491AD6" w:rsidTr="008A76D0">
        <w:trPr>
          <w:trHeight w:val="300"/>
        </w:trPr>
        <w:tc>
          <w:tcPr>
            <w:tcW w:w="2220" w:type="dxa"/>
            <w:tcBorders>
              <w:top w:val="nil"/>
              <w:left w:val="nil"/>
              <w:bottom w:val="nil"/>
              <w:right w:val="nil"/>
            </w:tcBorders>
            <w:shd w:val="clear" w:color="auto" w:fill="auto"/>
            <w:hideMark/>
          </w:tcPr>
          <w:p w:rsidR="00491AD6" w:rsidRPr="00C717DA" w:rsidRDefault="00491AD6" w:rsidP="008A76D0">
            <w:pPr>
              <w:rPr>
                <w:bCs/>
                <w:color w:val="000000"/>
              </w:rPr>
            </w:pPr>
            <w:r w:rsidRPr="00C717DA">
              <w:rPr>
                <w:bCs/>
                <w:color w:val="000000"/>
              </w:rPr>
              <w:t xml:space="preserve">Pop. </w:t>
            </w:r>
            <w:proofErr w:type="spellStart"/>
            <w:r w:rsidRPr="00C717DA">
              <w:rPr>
                <w:bCs/>
                <w:color w:val="000000"/>
              </w:rPr>
              <w:t>Density</w:t>
            </w:r>
            <w:proofErr w:type="spellEnd"/>
          </w:p>
        </w:tc>
        <w:tc>
          <w:tcPr>
            <w:tcW w:w="14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-0.035</w:t>
            </w:r>
          </w:p>
        </w:tc>
        <w:tc>
          <w:tcPr>
            <w:tcW w:w="11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0.008</w:t>
            </w:r>
          </w:p>
        </w:tc>
        <w:tc>
          <w:tcPr>
            <w:tcW w:w="156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-15.51</w:t>
            </w:r>
          </w:p>
        </w:tc>
        <w:tc>
          <w:tcPr>
            <w:tcW w:w="232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-2.5%</w:t>
            </w:r>
          </w:p>
        </w:tc>
      </w:tr>
      <w:tr w:rsidR="00491AD6" w:rsidRPr="00491AD6" w:rsidTr="008A76D0">
        <w:trPr>
          <w:trHeight w:val="300"/>
        </w:trPr>
        <w:tc>
          <w:tcPr>
            <w:tcW w:w="2220" w:type="dxa"/>
            <w:tcBorders>
              <w:top w:val="nil"/>
              <w:left w:val="nil"/>
              <w:bottom w:val="nil"/>
              <w:right w:val="nil"/>
            </w:tcBorders>
            <w:shd w:val="clear" w:color="auto" w:fill="auto"/>
            <w:hideMark/>
          </w:tcPr>
          <w:p w:rsidR="00491AD6" w:rsidRPr="00C717DA" w:rsidRDefault="00491AD6" w:rsidP="008A76D0">
            <w:pPr>
              <w:rPr>
                <w:bCs/>
                <w:color w:val="000000"/>
              </w:rPr>
            </w:pPr>
            <w:proofErr w:type="spellStart"/>
            <w:r w:rsidRPr="00C717DA">
              <w:rPr>
                <w:bCs/>
                <w:color w:val="000000"/>
              </w:rPr>
              <w:t>Employment</w:t>
            </w:r>
            <w:proofErr w:type="spellEnd"/>
          </w:p>
        </w:tc>
        <w:tc>
          <w:tcPr>
            <w:tcW w:w="14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-0.048</w:t>
            </w:r>
          </w:p>
        </w:tc>
        <w:tc>
          <w:tcPr>
            <w:tcW w:w="11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0.013</w:t>
            </w:r>
          </w:p>
        </w:tc>
        <w:tc>
          <w:tcPr>
            <w:tcW w:w="156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-12.21</w:t>
            </w:r>
          </w:p>
        </w:tc>
        <w:tc>
          <w:tcPr>
            <w:tcW w:w="232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-3.3%</w:t>
            </w:r>
          </w:p>
        </w:tc>
      </w:tr>
      <w:tr w:rsidR="00491AD6" w:rsidRPr="00491AD6" w:rsidTr="008A76D0">
        <w:trPr>
          <w:trHeight w:val="300"/>
        </w:trPr>
        <w:tc>
          <w:tcPr>
            <w:tcW w:w="2220" w:type="dxa"/>
            <w:tcBorders>
              <w:top w:val="nil"/>
              <w:left w:val="nil"/>
              <w:bottom w:val="nil"/>
              <w:right w:val="nil"/>
            </w:tcBorders>
            <w:shd w:val="clear" w:color="auto" w:fill="auto"/>
            <w:hideMark/>
          </w:tcPr>
          <w:p w:rsidR="00491AD6" w:rsidRPr="00C717DA" w:rsidRDefault="00491AD6" w:rsidP="008A76D0">
            <w:pPr>
              <w:rPr>
                <w:bCs/>
                <w:color w:val="000000"/>
              </w:rPr>
            </w:pPr>
            <w:proofErr w:type="spellStart"/>
            <w:r w:rsidRPr="00C717DA">
              <w:rPr>
                <w:bCs/>
                <w:color w:val="000000"/>
              </w:rPr>
              <w:t>Empl</w:t>
            </w:r>
            <w:proofErr w:type="spellEnd"/>
            <w:r w:rsidRPr="00C717DA">
              <w:rPr>
                <w:bCs/>
                <w:color w:val="000000"/>
              </w:rPr>
              <w:t xml:space="preserve">. </w:t>
            </w:r>
            <w:proofErr w:type="spellStart"/>
            <w:r w:rsidRPr="00C717DA">
              <w:rPr>
                <w:bCs/>
                <w:color w:val="000000"/>
              </w:rPr>
              <w:t>Density</w:t>
            </w:r>
            <w:proofErr w:type="spellEnd"/>
          </w:p>
        </w:tc>
        <w:tc>
          <w:tcPr>
            <w:tcW w:w="14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-0.044</w:t>
            </w:r>
          </w:p>
        </w:tc>
        <w:tc>
          <w:tcPr>
            <w:tcW w:w="11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0.007</w:t>
            </w:r>
          </w:p>
        </w:tc>
        <w:tc>
          <w:tcPr>
            <w:tcW w:w="156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-21.67</w:t>
            </w:r>
          </w:p>
        </w:tc>
        <w:tc>
          <w:tcPr>
            <w:tcW w:w="232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-3.1%</w:t>
            </w:r>
          </w:p>
        </w:tc>
      </w:tr>
      <w:tr w:rsidR="00491AD6" w:rsidRPr="00491AD6" w:rsidTr="008A76D0">
        <w:trPr>
          <w:trHeight w:val="300"/>
        </w:trPr>
        <w:tc>
          <w:tcPr>
            <w:tcW w:w="2220" w:type="dxa"/>
            <w:tcBorders>
              <w:top w:val="nil"/>
              <w:left w:val="nil"/>
              <w:bottom w:val="nil"/>
              <w:right w:val="nil"/>
            </w:tcBorders>
            <w:shd w:val="clear" w:color="auto" w:fill="auto"/>
            <w:hideMark/>
          </w:tcPr>
          <w:p w:rsidR="00491AD6" w:rsidRPr="00C717DA" w:rsidRDefault="00491AD6" w:rsidP="008A76D0">
            <w:pPr>
              <w:rPr>
                <w:b/>
                <w:i/>
                <w:iCs/>
                <w:color w:val="000000"/>
              </w:rPr>
            </w:pPr>
          </w:p>
        </w:tc>
        <w:tc>
          <w:tcPr>
            <w:tcW w:w="1480" w:type="dxa"/>
            <w:tcBorders>
              <w:top w:val="nil"/>
              <w:left w:val="nil"/>
              <w:bottom w:val="nil"/>
              <w:right w:val="nil"/>
            </w:tcBorders>
            <w:shd w:val="clear" w:color="auto" w:fill="auto"/>
            <w:hideMark/>
          </w:tcPr>
          <w:p w:rsidR="00491AD6" w:rsidRPr="00491AD6" w:rsidRDefault="00C717DA" w:rsidP="008A76D0">
            <w:pPr>
              <w:jc w:val="center"/>
              <w:rPr>
                <w:color w:val="000000"/>
              </w:rPr>
            </w:pPr>
            <w:proofErr w:type="spellStart"/>
            <w:r w:rsidRPr="00C717DA">
              <w:rPr>
                <w:b/>
                <w:i/>
                <w:iCs/>
                <w:color w:val="000000"/>
              </w:rPr>
              <w:t>Construction</w:t>
            </w:r>
            <w:proofErr w:type="spellEnd"/>
          </w:p>
        </w:tc>
        <w:tc>
          <w:tcPr>
            <w:tcW w:w="1180" w:type="dxa"/>
            <w:tcBorders>
              <w:top w:val="nil"/>
              <w:left w:val="nil"/>
              <w:bottom w:val="nil"/>
              <w:right w:val="nil"/>
            </w:tcBorders>
            <w:shd w:val="clear" w:color="auto" w:fill="auto"/>
            <w:hideMark/>
          </w:tcPr>
          <w:p w:rsidR="00491AD6" w:rsidRPr="00491AD6" w:rsidRDefault="00491AD6" w:rsidP="008A76D0">
            <w:pPr>
              <w:jc w:val="center"/>
              <w:rPr>
                <w:color w:val="000000"/>
              </w:rPr>
            </w:pPr>
          </w:p>
        </w:tc>
        <w:tc>
          <w:tcPr>
            <w:tcW w:w="1560" w:type="dxa"/>
            <w:tcBorders>
              <w:top w:val="nil"/>
              <w:left w:val="nil"/>
              <w:bottom w:val="nil"/>
              <w:right w:val="nil"/>
            </w:tcBorders>
            <w:shd w:val="clear" w:color="auto" w:fill="auto"/>
            <w:hideMark/>
          </w:tcPr>
          <w:p w:rsidR="00491AD6" w:rsidRPr="00491AD6" w:rsidRDefault="00491AD6" w:rsidP="008A76D0">
            <w:pPr>
              <w:jc w:val="center"/>
              <w:rPr>
                <w:color w:val="000000"/>
              </w:rPr>
            </w:pPr>
          </w:p>
        </w:tc>
        <w:tc>
          <w:tcPr>
            <w:tcW w:w="2320" w:type="dxa"/>
            <w:tcBorders>
              <w:top w:val="nil"/>
              <w:left w:val="nil"/>
              <w:bottom w:val="nil"/>
              <w:right w:val="nil"/>
            </w:tcBorders>
            <w:shd w:val="clear" w:color="auto" w:fill="auto"/>
            <w:hideMark/>
          </w:tcPr>
          <w:p w:rsidR="00491AD6" w:rsidRPr="00491AD6" w:rsidRDefault="00491AD6" w:rsidP="008A76D0">
            <w:pPr>
              <w:jc w:val="center"/>
              <w:rPr>
                <w:b/>
                <w:bCs/>
                <w:color w:val="000000"/>
              </w:rPr>
            </w:pPr>
          </w:p>
        </w:tc>
      </w:tr>
      <w:tr w:rsidR="00491AD6" w:rsidRPr="00491AD6" w:rsidTr="008A76D0">
        <w:trPr>
          <w:trHeight w:val="300"/>
        </w:trPr>
        <w:tc>
          <w:tcPr>
            <w:tcW w:w="2220" w:type="dxa"/>
            <w:tcBorders>
              <w:top w:val="nil"/>
              <w:left w:val="nil"/>
              <w:bottom w:val="nil"/>
              <w:right w:val="nil"/>
            </w:tcBorders>
            <w:shd w:val="clear" w:color="auto" w:fill="auto"/>
            <w:hideMark/>
          </w:tcPr>
          <w:p w:rsidR="00491AD6" w:rsidRPr="00491AD6" w:rsidRDefault="00491AD6" w:rsidP="008A76D0">
            <w:pPr>
              <w:rPr>
                <w:b/>
                <w:bCs/>
                <w:color w:val="000000"/>
              </w:rPr>
            </w:pPr>
            <w:proofErr w:type="spellStart"/>
            <w:r w:rsidRPr="00491AD6">
              <w:rPr>
                <w:b/>
                <w:bCs/>
                <w:color w:val="000000"/>
              </w:rPr>
              <w:t>Size</w:t>
            </w:r>
            <w:proofErr w:type="spellEnd"/>
            <w:r w:rsidRPr="00491AD6">
              <w:rPr>
                <w:b/>
                <w:bCs/>
                <w:color w:val="000000"/>
              </w:rPr>
              <w:t xml:space="preserve"> </w:t>
            </w:r>
            <w:proofErr w:type="spellStart"/>
            <w:r w:rsidRPr="00491AD6">
              <w:rPr>
                <w:b/>
                <w:bCs/>
                <w:color w:val="000000"/>
              </w:rPr>
              <w:t>measure</w:t>
            </w:r>
            <w:proofErr w:type="spellEnd"/>
          </w:p>
        </w:tc>
        <w:tc>
          <w:tcPr>
            <w:tcW w:w="1480" w:type="dxa"/>
            <w:tcBorders>
              <w:top w:val="nil"/>
              <w:left w:val="nil"/>
              <w:bottom w:val="nil"/>
              <w:right w:val="nil"/>
            </w:tcBorders>
            <w:shd w:val="clear" w:color="auto" w:fill="auto"/>
            <w:hideMark/>
          </w:tcPr>
          <w:p w:rsidR="00491AD6" w:rsidRPr="00491AD6" w:rsidRDefault="00491AD6" w:rsidP="008A76D0">
            <w:pPr>
              <w:jc w:val="center"/>
              <w:rPr>
                <w:b/>
                <w:bCs/>
                <w:color w:val="000000"/>
              </w:rPr>
            </w:pPr>
            <w:proofErr w:type="spellStart"/>
            <w:r w:rsidRPr="00491AD6">
              <w:rPr>
                <w:b/>
                <w:bCs/>
                <w:color w:val="000000"/>
              </w:rPr>
              <w:t>Coeff</w:t>
            </w:r>
            <w:proofErr w:type="spellEnd"/>
          </w:p>
        </w:tc>
        <w:tc>
          <w:tcPr>
            <w:tcW w:w="1180" w:type="dxa"/>
            <w:tcBorders>
              <w:top w:val="nil"/>
              <w:left w:val="nil"/>
              <w:bottom w:val="nil"/>
              <w:right w:val="nil"/>
            </w:tcBorders>
            <w:shd w:val="clear" w:color="auto" w:fill="auto"/>
            <w:hideMark/>
          </w:tcPr>
          <w:p w:rsidR="00491AD6" w:rsidRPr="00491AD6" w:rsidRDefault="00491AD6" w:rsidP="008A76D0">
            <w:pPr>
              <w:jc w:val="center"/>
              <w:rPr>
                <w:b/>
                <w:bCs/>
                <w:color w:val="000000"/>
              </w:rPr>
            </w:pPr>
            <w:proofErr w:type="spellStart"/>
            <w:r w:rsidRPr="00491AD6">
              <w:rPr>
                <w:b/>
                <w:bCs/>
                <w:color w:val="000000"/>
              </w:rPr>
              <w:t>Std</w:t>
            </w:r>
            <w:proofErr w:type="spellEnd"/>
            <w:r w:rsidRPr="00491AD6">
              <w:rPr>
                <w:b/>
                <w:bCs/>
                <w:color w:val="000000"/>
              </w:rPr>
              <w:t xml:space="preserve"> </w:t>
            </w:r>
            <w:proofErr w:type="spellStart"/>
            <w:r w:rsidRPr="00491AD6">
              <w:rPr>
                <w:b/>
                <w:bCs/>
                <w:color w:val="000000"/>
              </w:rPr>
              <w:t>Dev</w:t>
            </w:r>
            <w:proofErr w:type="spellEnd"/>
          </w:p>
        </w:tc>
        <w:tc>
          <w:tcPr>
            <w:tcW w:w="1560" w:type="dxa"/>
            <w:tcBorders>
              <w:top w:val="nil"/>
              <w:left w:val="nil"/>
              <w:bottom w:val="nil"/>
              <w:right w:val="nil"/>
            </w:tcBorders>
            <w:shd w:val="clear" w:color="auto" w:fill="auto"/>
            <w:hideMark/>
          </w:tcPr>
          <w:p w:rsidR="00491AD6" w:rsidRPr="00491AD6" w:rsidRDefault="00491AD6" w:rsidP="008A76D0">
            <w:pPr>
              <w:jc w:val="center"/>
              <w:rPr>
                <w:b/>
                <w:bCs/>
                <w:color w:val="000000"/>
              </w:rPr>
            </w:pPr>
            <w:r w:rsidRPr="00491AD6">
              <w:rPr>
                <w:b/>
                <w:bCs/>
                <w:color w:val="000000"/>
              </w:rPr>
              <w:t>t-</w:t>
            </w:r>
            <w:proofErr w:type="spellStart"/>
            <w:r w:rsidRPr="00491AD6">
              <w:rPr>
                <w:b/>
                <w:bCs/>
                <w:color w:val="000000"/>
              </w:rPr>
              <w:t>Student</w:t>
            </w:r>
            <w:proofErr w:type="spellEnd"/>
          </w:p>
        </w:tc>
        <w:tc>
          <w:tcPr>
            <w:tcW w:w="2320" w:type="dxa"/>
            <w:tcBorders>
              <w:top w:val="nil"/>
              <w:left w:val="nil"/>
              <w:bottom w:val="nil"/>
              <w:right w:val="nil"/>
            </w:tcBorders>
            <w:shd w:val="clear" w:color="auto" w:fill="auto"/>
            <w:hideMark/>
          </w:tcPr>
          <w:p w:rsidR="00491AD6" w:rsidRPr="00491AD6" w:rsidRDefault="00491AD6" w:rsidP="008A76D0">
            <w:pPr>
              <w:jc w:val="center"/>
              <w:rPr>
                <w:b/>
                <w:bCs/>
                <w:color w:val="000000"/>
              </w:rPr>
            </w:pPr>
            <w:r w:rsidRPr="00491AD6">
              <w:rPr>
                <w:b/>
                <w:bCs/>
                <w:color w:val="000000"/>
              </w:rPr>
              <w:t xml:space="preserve"> Domar </w:t>
            </w:r>
            <w:proofErr w:type="spellStart"/>
            <w:r w:rsidR="0072392B">
              <w:rPr>
                <w:b/>
                <w:bCs/>
                <w:color w:val="000000"/>
              </w:rPr>
              <w:t>bias</w:t>
            </w:r>
            <w:proofErr w:type="spellEnd"/>
          </w:p>
        </w:tc>
      </w:tr>
      <w:tr w:rsidR="00491AD6" w:rsidRPr="00491AD6" w:rsidTr="008A76D0">
        <w:trPr>
          <w:trHeight w:val="300"/>
        </w:trPr>
        <w:tc>
          <w:tcPr>
            <w:tcW w:w="2220" w:type="dxa"/>
            <w:tcBorders>
              <w:top w:val="nil"/>
              <w:left w:val="nil"/>
              <w:bottom w:val="nil"/>
              <w:right w:val="nil"/>
            </w:tcBorders>
            <w:shd w:val="clear" w:color="auto" w:fill="auto"/>
            <w:hideMark/>
          </w:tcPr>
          <w:p w:rsidR="00491AD6" w:rsidRPr="00C717DA" w:rsidRDefault="00491AD6" w:rsidP="008A76D0">
            <w:pPr>
              <w:rPr>
                <w:bCs/>
                <w:color w:val="000000"/>
              </w:rPr>
            </w:pPr>
            <w:proofErr w:type="spellStart"/>
            <w:r w:rsidRPr="00C717DA">
              <w:rPr>
                <w:bCs/>
                <w:color w:val="000000"/>
              </w:rPr>
              <w:t>Population</w:t>
            </w:r>
            <w:proofErr w:type="spellEnd"/>
          </w:p>
        </w:tc>
        <w:tc>
          <w:tcPr>
            <w:tcW w:w="14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-0.036</w:t>
            </w:r>
          </w:p>
        </w:tc>
        <w:tc>
          <w:tcPr>
            <w:tcW w:w="11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0.017</w:t>
            </w:r>
          </w:p>
        </w:tc>
        <w:tc>
          <w:tcPr>
            <w:tcW w:w="156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-6.98</w:t>
            </w:r>
          </w:p>
        </w:tc>
        <w:tc>
          <w:tcPr>
            <w:tcW w:w="232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-2.5%</w:t>
            </w:r>
          </w:p>
        </w:tc>
      </w:tr>
      <w:tr w:rsidR="00491AD6" w:rsidRPr="00491AD6" w:rsidTr="008A76D0">
        <w:trPr>
          <w:trHeight w:val="300"/>
        </w:trPr>
        <w:tc>
          <w:tcPr>
            <w:tcW w:w="2220" w:type="dxa"/>
            <w:tcBorders>
              <w:top w:val="nil"/>
              <w:left w:val="nil"/>
              <w:bottom w:val="nil"/>
              <w:right w:val="nil"/>
            </w:tcBorders>
            <w:shd w:val="clear" w:color="auto" w:fill="auto"/>
            <w:hideMark/>
          </w:tcPr>
          <w:p w:rsidR="00491AD6" w:rsidRPr="00C717DA" w:rsidRDefault="00491AD6" w:rsidP="008A76D0">
            <w:pPr>
              <w:rPr>
                <w:bCs/>
                <w:color w:val="000000"/>
              </w:rPr>
            </w:pPr>
            <w:r w:rsidRPr="00C717DA">
              <w:rPr>
                <w:bCs/>
                <w:color w:val="000000"/>
              </w:rPr>
              <w:t xml:space="preserve">Pop. </w:t>
            </w:r>
            <w:proofErr w:type="spellStart"/>
            <w:r w:rsidRPr="00C717DA">
              <w:rPr>
                <w:bCs/>
                <w:color w:val="000000"/>
              </w:rPr>
              <w:t>Density</w:t>
            </w:r>
            <w:proofErr w:type="spellEnd"/>
          </w:p>
        </w:tc>
        <w:tc>
          <w:tcPr>
            <w:tcW w:w="14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-0.034</w:t>
            </w:r>
          </w:p>
        </w:tc>
        <w:tc>
          <w:tcPr>
            <w:tcW w:w="11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0.016</w:t>
            </w:r>
          </w:p>
        </w:tc>
        <w:tc>
          <w:tcPr>
            <w:tcW w:w="156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-6.79</w:t>
            </w:r>
          </w:p>
        </w:tc>
        <w:tc>
          <w:tcPr>
            <w:tcW w:w="232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-2.3%</w:t>
            </w:r>
          </w:p>
        </w:tc>
      </w:tr>
      <w:tr w:rsidR="00491AD6" w:rsidRPr="00491AD6" w:rsidTr="008A76D0">
        <w:trPr>
          <w:trHeight w:val="300"/>
        </w:trPr>
        <w:tc>
          <w:tcPr>
            <w:tcW w:w="2220" w:type="dxa"/>
            <w:tcBorders>
              <w:top w:val="nil"/>
              <w:left w:val="nil"/>
              <w:bottom w:val="nil"/>
              <w:right w:val="nil"/>
            </w:tcBorders>
            <w:shd w:val="clear" w:color="auto" w:fill="auto"/>
            <w:hideMark/>
          </w:tcPr>
          <w:p w:rsidR="00491AD6" w:rsidRPr="00C717DA" w:rsidRDefault="00491AD6" w:rsidP="008A76D0">
            <w:pPr>
              <w:rPr>
                <w:bCs/>
                <w:color w:val="000000"/>
              </w:rPr>
            </w:pPr>
            <w:proofErr w:type="spellStart"/>
            <w:r w:rsidRPr="00C717DA">
              <w:rPr>
                <w:bCs/>
                <w:color w:val="000000"/>
              </w:rPr>
              <w:t>Employment</w:t>
            </w:r>
            <w:proofErr w:type="spellEnd"/>
          </w:p>
        </w:tc>
        <w:tc>
          <w:tcPr>
            <w:tcW w:w="14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-0.041</w:t>
            </w:r>
          </w:p>
        </w:tc>
        <w:tc>
          <w:tcPr>
            <w:tcW w:w="11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0.019</w:t>
            </w:r>
          </w:p>
        </w:tc>
        <w:tc>
          <w:tcPr>
            <w:tcW w:w="156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-6.94</w:t>
            </w:r>
          </w:p>
        </w:tc>
        <w:tc>
          <w:tcPr>
            <w:tcW w:w="232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-2.8%</w:t>
            </w:r>
          </w:p>
        </w:tc>
      </w:tr>
      <w:tr w:rsidR="00491AD6" w:rsidRPr="00491AD6" w:rsidTr="008A76D0">
        <w:trPr>
          <w:trHeight w:val="300"/>
        </w:trPr>
        <w:tc>
          <w:tcPr>
            <w:tcW w:w="2220" w:type="dxa"/>
            <w:tcBorders>
              <w:top w:val="nil"/>
              <w:left w:val="nil"/>
              <w:bottom w:val="nil"/>
              <w:right w:val="nil"/>
            </w:tcBorders>
            <w:shd w:val="clear" w:color="auto" w:fill="auto"/>
            <w:hideMark/>
          </w:tcPr>
          <w:p w:rsidR="00491AD6" w:rsidRPr="00C717DA" w:rsidRDefault="00491AD6" w:rsidP="008A76D0">
            <w:pPr>
              <w:rPr>
                <w:bCs/>
                <w:color w:val="000000"/>
              </w:rPr>
            </w:pPr>
            <w:proofErr w:type="spellStart"/>
            <w:r w:rsidRPr="00C717DA">
              <w:rPr>
                <w:bCs/>
                <w:color w:val="000000"/>
              </w:rPr>
              <w:t>Empl</w:t>
            </w:r>
            <w:proofErr w:type="spellEnd"/>
            <w:r w:rsidRPr="00C717DA">
              <w:rPr>
                <w:bCs/>
                <w:color w:val="000000"/>
              </w:rPr>
              <w:t xml:space="preserve">. </w:t>
            </w:r>
            <w:proofErr w:type="spellStart"/>
            <w:r w:rsidRPr="00C717DA">
              <w:rPr>
                <w:bCs/>
                <w:color w:val="000000"/>
              </w:rPr>
              <w:t>Density</w:t>
            </w:r>
            <w:proofErr w:type="spellEnd"/>
          </w:p>
        </w:tc>
        <w:tc>
          <w:tcPr>
            <w:tcW w:w="14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-0.035</w:t>
            </w:r>
          </w:p>
        </w:tc>
        <w:tc>
          <w:tcPr>
            <w:tcW w:w="11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0.017</w:t>
            </w:r>
          </w:p>
        </w:tc>
        <w:tc>
          <w:tcPr>
            <w:tcW w:w="156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-6.77</w:t>
            </w:r>
          </w:p>
        </w:tc>
        <w:tc>
          <w:tcPr>
            <w:tcW w:w="232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-2.4%</w:t>
            </w:r>
          </w:p>
        </w:tc>
      </w:tr>
      <w:tr w:rsidR="00491AD6" w:rsidRPr="00491AD6" w:rsidTr="008A76D0">
        <w:trPr>
          <w:trHeight w:val="300"/>
        </w:trPr>
        <w:tc>
          <w:tcPr>
            <w:tcW w:w="2220" w:type="dxa"/>
            <w:tcBorders>
              <w:top w:val="nil"/>
              <w:left w:val="nil"/>
              <w:bottom w:val="nil"/>
              <w:right w:val="nil"/>
            </w:tcBorders>
            <w:shd w:val="clear" w:color="auto" w:fill="auto"/>
            <w:hideMark/>
          </w:tcPr>
          <w:p w:rsidR="00491AD6" w:rsidRPr="00C717DA" w:rsidRDefault="00491AD6" w:rsidP="008A76D0">
            <w:pPr>
              <w:rPr>
                <w:b/>
                <w:i/>
                <w:iCs/>
                <w:color w:val="000000"/>
              </w:rPr>
            </w:pPr>
          </w:p>
        </w:tc>
        <w:tc>
          <w:tcPr>
            <w:tcW w:w="1480" w:type="dxa"/>
            <w:tcBorders>
              <w:top w:val="nil"/>
              <w:left w:val="nil"/>
              <w:bottom w:val="nil"/>
              <w:right w:val="nil"/>
            </w:tcBorders>
            <w:shd w:val="clear" w:color="auto" w:fill="auto"/>
            <w:hideMark/>
          </w:tcPr>
          <w:p w:rsidR="00491AD6" w:rsidRPr="00491AD6" w:rsidRDefault="00C717DA" w:rsidP="008A76D0">
            <w:pPr>
              <w:jc w:val="center"/>
              <w:rPr>
                <w:color w:val="000000"/>
              </w:rPr>
            </w:pPr>
            <w:proofErr w:type="spellStart"/>
            <w:r w:rsidRPr="00C717DA">
              <w:rPr>
                <w:b/>
                <w:i/>
                <w:iCs/>
                <w:color w:val="000000"/>
              </w:rPr>
              <w:t>Services</w:t>
            </w:r>
            <w:proofErr w:type="spellEnd"/>
          </w:p>
        </w:tc>
        <w:tc>
          <w:tcPr>
            <w:tcW w:w="1180" w:type="dxa"/>
            <w:tcBorders>
              <w:top w:val="nil"/>
              <w:left w:val="nil"/>
              <w:bottom w:val="nil"/>
              <w:right w:val="nil"/>
            </w:tcBorders>
            <w:shd w:val="clear" w:color="auto" w:fill="auto"/>
            <w:hideMark/>
          </w:tcPr>
          <w:p w:rsidR="00491AD6" w:rsidRPr="00491AD6" w:rsidRDefault="00491AD6" w:rsidP="008A76D0">
            <w:pPr>
              <w:jc w:val="center"/>
              <w:rPr>
                <w:color w:val="000000"/>
              </w:rPr>
            </w:pPr>
          </w:p>
        </w:tc>
        <w:tc>
          <w:tcPr>
            <w:tcW w:w="1560" w:type="dxa"/>
            <w:tcBorders>
              <w:top w:val="nil"/>
              <w:left w:val="nil"/>
              <w:bottom w:val="nil"/>
              <w:right w:val="nil"/>
            </w:tcBorders>
            <w:shd w:val="clear" w:color="auto" w:fill="auto"/>
            <w:hideMark/>
          </w:tcPr>
          <w:p w:rsidR="00491AD6" w:rsidRPr="00491AD6" w:rsidRDefault="00491AD6" w:rsidP="008A76D0">
            <w:pPr>
              <w:jc w:val="center"/>
              <w:rPr>
                <w:color w:val="000000"/>
              </w:rPr>
            </w:pPr>
          </w:p>
        </w:tc>
        <w:tc>
          <w:tcPr>
            <w:tcW w:w="2320" w:type="dxa"/>
            <w:tcBorders>
              <w:top w:val="nil"/>
              <w:left w:val="nil"/>
              <w:bottom w:val="nil"/>
              <w:right w:val="nil"/>
            </w:tcBorders>
            <w:shd w:val="clear" w:color="auto" w:fill="auto"/>
            <w:hideMark/>
          </w:tcPr>
          <w:p w:rsidR="00491AD6" w:rsidRPr="00491AD6" w:rsidRDefault="00491AD6" w:rsidP="008A76D0">
            <w:pPr>
              <w:jc w:val="center"/>
              <w:rPr>
                <w:b/>
                <w:bCs/>
                <w:color w:val="000000"/>
              </w:rPr>
            </w:pPr>
          </w:p>
        </w:tc>
      </w:tr>
      <w:tr w:rsidR="00491AD6" w:rsidRPr="00491AD6" w:rsidTr="008A76D0">
        <w:trPr>
          <w:trHeight w:val="300"/>
        </w:trPr>
        <w:tc>
          <w:tcPr>
            <w:tcW w:w="2220" w:type="dxa"/>
            <w:tcBorders>
              <w:top w:val="nil"/>
              <w:left w:val="nil"/>
              <w:bottom w:val="nil"/>
              <w:right w:val="nil"/>
            </w:tcBorders>
            <w:shd w:val="clear" w:color="auto" w:fill="auto"/>
            <w:hideMark/>
          </w:tcPr>
          <w:p w:rsidR="00491AD6" w:rsidRPr="00491AD6" w:rsidRDefault="00491AD6" w:rsidP="008A76D0">
            <w:pPr>
              <w:rPr>
                <w:b/>
                <w:bCs/>
                <w:color w:val="000000"/>
              </w:rPr>
            </w:pPr>
            <w:proofErr w:type="spellStart"/>
            <w:r w:rsidRPr="00491AD6">
              <w:rPr>
                <w:b/>
                <w:bCs/>
                <w:color w:val="000000"/>
              </w:rPr>
              <w:t>Size</w:t>
            </w:r>
            <w:proofErr w:type="spellEnd"/>
            <w:r w:rsidRPr="00491AD6">
              <w:rPr>
                <w:b/>
                <w:bCs/>
                <w:color w:val="000000"/>
              </w:rPr>
              <w:t xml:space="preserve"> </w:t>
            </w:r>
            <w:proofErr w:type="spellStart"/>
            <w:r w:rsidRPr="00491AD6">
              <w:rPr>
                <w:b/>
                <w:bCs/>
                <w:color w:val="000000"/>
              </w:rPr>
              <w:t>measure</w:t>
            </w:r>
            <w:proofErr w:type="spellEnd"/>
          </w:p>
        </w:tc>
        <w:tc>
          <w:tcPr>
            <w:tcW w:w="1480" w:type="dxa"/>
            <w:tcBorders>
              <w:top w:val="nil"/>
              <w:left w:val="nil"/>
              <w:bottom w:val="nil"/>
              <w:right w:val="nil"/>
            </w:tcBorders>
            <w:shd w:val="clear" w:color="auto" w:fill="auto"/>
            <w:hideMark/>
          </w:tcPr>
          <w:p w:rsidR="00491AD6" w:rsidRPr="00491AD6" w:rsidRDefault="00491AD6" w:rsidP="008A76D0">
            <w:pPr>
              <w:jc w:val="center"/>
              <w:rPr>
                <w:b/>
                <w:bCs/>
                <w:color w:val="000000"/>
              </w:rPr>
            </w:pPr>
            <w:proofErr w:type="spellStart"/>
            <w:r w:rsidRPr="00491AD6">
              <w:rPr>
                <w:b/>
                <w:bCs/>
                <w:color w:val="000000"/>
              </w:rPr>
              <w:t>Coeff</w:t>
            </w:r>
            <w:proofErr w:type="spellEnd"/>
          </w:p>
        </w:tc>
        <w:tc>
          <w:tcPr>
            <w:tcW w:w="1180" w:type="dxa"/>
            <w:tcBorders>
              <w:top w:val="nil"/>
              <w:left w:val="nil"/>
              <w:bottom w:val="nil"/>
              <w:right w:val="nil"/>
            </w:tcBorders>
            <w:shd w:val="clear" w:color="auto" w:fill="auto"/>
            <w:hideMark/>
          </w:tcPr>
          <w:p w:rsidR="00491AD6" w:rsidRPr="00491AD6" w:rsidRDefault="00491AD6" w:rsidP="008A76D0">
            <w:pPr>
              <w:jc w:val="center"/>
              <w:rPr>
                <w:b/>
                <w:bCs/>
                <w:color w:val="000000"/>
              </w:rPr>
            </w:pPr>
            <w:proofErr w:type="spellStart"/>
            <w:r w:rsidRPr="00491AD6">
              <w:rPr>
                <w:b/>
                <w:bCs/>
                <w:color w:val="000000"/>
              </w:rPr>
              <w:t>Std</w:t>
            </w:r>
            <w:proofErr w:type="spellEnd"/>
            <w:r w:rsidRPr="00491AD6">
              <w:rPr>
                <w:b/>
                <w:bCs/>
                <w:color w:val="000000"/>
              </w:rPr>
              <w:t xml:space="preserve"> </w:t>
            </w:r>
            <w:proofErr w:type="spellStart"/>
            <w:r w:rsidRPr="00491AD6">
              <w:rPr>
                <w:b/>
                <w:bCs/>
                <w:color w:val="000000"/>
              </w:rPr>
              <w:t>Dev</w:t>
            </w:r>
            <w:proofErr w:type="spellEnd"/>
          </w:p>
        </w:tc>
        <w:tc>
          <w:tcPr>
            <w:tcW w:w="1560" w:type="dxa"/>
            <w:tcBorders>
              <w:top w:val="nil"/>
              <w:left w:val="nil"/>
              <w:bottom w:val="nil"/>
              <w:right w:val="nil"/>
            </w:tcBorders>
            <w:shd w:val="clear" w:color="auto" w:fill="auto"/>
            <w:hideMark/>
          </w:tcPr>
          <w:p w:rsidR="00491AD6" w:rsidRPr="00491AD6" w:rsidRDefault="00491AD6" w:rsidP="008A76D0">
            <w:pPr>
              <w:jc w:val="center"/>
              <w:rPr>
                <w:b/>
                <w:bCs/>
                <w:color w:val="000000"/>
              </w:rPr>
            </w:pPr>
            <w:r w:rsidRPr="00491AD6">
              <w:rPr>
                <w:b/>
                <w:bCs/>
                <w:color w:val="000000"/>
              </w:rPr>
              <w:t>t-</w:t>
            </w:r>
            <w:proofErr w:type="spellStart"/>
            <w:r w:rsidRPr="00491AD6">
              <w:rPr>
                <w:b/>
                <w:bCs/>
                <w:color w:val="000000"/>
              </w:rPr>
              <w:t>Student</w:t>
            </w:r>
            <w:proofErr w:type="spellEnd"/>
          </w:p>
        </w:tc>
        <w:tc>
          <w:tcPr>
            <w:tcW w:w="2320" w:type="dxa"/>
            <w:tcBorders>
              <w:top w:val="nil"/>
              <w:left w:val="nil"/>
              <w:bottom w:val="nil"/>
              <w:right w:val="nil"/>
            </w:tcBorders>
            <w:shd w:val="clear" w:color="auto" w:fill="auto"/>
            <w:hideMark/>
          </w:tcPr>
          <w:p w:rsidR="00491AD6" w:rsidRPr="00491AD6" w:rsidRDefault="00491AD6" w:rsidP="008A76D0">
            <w:pPr>
              <w:jc w:val="center"/>
              <w:rPr>
                <w:b/>
                <w:bCs/>
                <w:color w:val="000000"/>
              </w:rPr>
            </w:pPr>
            <w:r w:rsidRPr="00491AD6">
              <w:rPr>
                <w:b/>
                <w:bCs/>
                <w:color w:val="000000"/>
              </w:rPr>
              <w:t xml:space="preserve"> Domar </w:t>
            </w:r>
            <w:proofErr w:type="spellStart"/>
            <w:r w:rsidR="0072392B">
              <w:rPr>
                <w:b/>
                <w:bCs/>
                <w:color w:val="000000"/>
              </w:rPr>
              <w:t>bias</w:t>
            </w:r>
            <w:proofErr w:type="spellEnd"/>
          </w:p>
        </w:tc>
      </w:tr>
      <w:tr w:rsidR="00491AD6" w:rsidRPr="00491AD6" w:rsidTr="008A76D0">
        <w:trPr>
          <w:trHeight w:val="300"/>
        </w:trPr>
        <w:tc>
          <w:tcPr>
            <w:tcW w:w="2220" w:type="dxa"/>
            <w:tcBorders>
              <w:top w:val="nil"/>
              <w:left w:val="nil"/>
              <w:bottom w:val="nil"/>
              <w:right w:val="nil"/>
            </w:tcBorders>
            <w:shd w:val="clear" w:color="auto" w:fill="auto"/>
            <w:hideMark/>
          </w:tcPr>
          <w:p w:rsidR="00491AD6" w:rsidRPr="00C717DA" w:rsidRDefault="00491AD6" w:rsidP="008A76D0">
            <w:pPr>
              <w:rPr>
                <w:bCs/>
                <w:color w:val="000000"/>
              </w:rPr>
            </w:pPr>
            <w:proofErr w:type="spellStart"/>
            <w:r w:rsidRPr="00C717DA">
              <w:rPr>
                <w:bCs/>
                <w:color w:val="000000"/>
              </w:rPr>
              <w:t>Population</w:t>
            </w:r>
            <w:proofErr w:type="spellEnd"/>
          </w:p>
        </w:tc>
        <w:tc>
          <w:tcPr>
            <w:tcW w:w="14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0.017</w:t>
            </w:r>
          </w:p>
        </w:tc>
        <w:tc>
          <w:tcPr>
            <w:tcW w:w="11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0.003</w:t>
            </w:r>
          </w:p>
        </w:tc>
        <w:tc>
          <w:tcPr>
            <w:tcW w:w="156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20.06</w:t>
            </w:r>
          </w:p>
        </w:tc>
        <w:tc>
          <w:tcPr>
            <w:tcW w:w="232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1.2%</w:t>
            </w:r>
          </w:p>
        </w:tc>
      </w:tr>
      <w:tr w:rsidR="00491AD6" w:rsidRPr="00491AD6" w:rsidTr="008A76D0">
        <w:trPr>
          <w:trHeight w:val="300"/>
        </w:trPr>
        <w:tc>
          <w:tcPr>
            <w:tcW w:w="2220" w:type="dxa"/>
            <w:tcBorders>
              <w:top w:val="nil"/>
              <w:left w:val="nil"/>
              <w:bottom w:val="nil"/>
              <w:right w:val="nil"/>
            </w:tcBorders>
            <w:shd w:val="clear" w:color="auto" w:fill="auto"/>
            <w:hideMark/>
          </w:tcPr>
          <w:p w:rsidR="00491AD6" w:rsidRPr="00C717DA" w:rsidRDefault="00491AD6" w:rsidP="008A76D0">
            <w:pPr>
              <w:rPr>
                <w:bCs/>
                <w:color w:val="000000"/>
              </w:rPr>
            </w:pPr>
            <w:r w:rsidRPr="00C717DA">
              <w:rPr>
                <w:bCs/>
                <w:color w:val="000000"/>
              </w:rPr>
              <w:t xml:space="preserve">Pop. </w:t>
            </w:r>
            <w:proofErr w:type="spellStart"/>
            <w:r w:rsidRPr="00C717DA">
              <w:rPr>
                <w:bCs/>
                <w:color w:val="000000"/>
              </w:rPr>
              <w:t>Density</w:t>
            </w:r>
            <w:proofErr w:type="spellEnd"/>
          </w:p>
        </w:tc>
        <w:tc>
          <w:tcPr>
            <w:tcW w:w="14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0.018</w:t>
            </w:r>
          </w:p>
        </w:tc>
        <w:tc>
          <w:tcPr>
            <w:tcW w:w="11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0.003</w:t>
            </w:r>
          </w:p>
        </w:tc>
        <w:tc>
          <w:tcPr>
            <w:tcW w:w="156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17.19</w:t>
            </w:r>
          </w:p>
        </w:tc>
        <w:tc>
          <w:tcPr>
            <w:tcW w:w="232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1.3%</w:t>
            </w:r>
          </w:p>
        </w:tc>
      </w:tr>
      <w:tr w:rsidR="00491AD6" w:rsidRPr="00491AD6" w:rsidTr="008A76D0">
        <w:trPr>
          <w:trHeight w:val="300"/>
        </w:trPr>
        <w:tc>
          <w:tcPr>
            <w:tcW w:w="2220" w:type="dxa"/>
            <w:tcBorders>
              <w:top w:val="nil"/>
              <w:left w:val="nil"/>
              <w:bottom w:val="nil"/>
              <w:right w:val="nil"/>
            </w:tcBorders>
            <w:shd w:val="clear" w:color="auto" w:fill="auto"/>
            <w:hideMark/>
          </w:tcPr>
          <w:p w:rsidR="00491AD6" w:rsidRPr="00C717DA" w:rsidRDefault="00491AD6" w:rsidP="008A76D0">
            <w:pPr>
              <w:rPr>
                <w:bCs/>
                <w:color w:val="000000"/>
              </w:rPr>
            </w:pPr>
            <w:proofErr w:type="spellStart"/>
            <w:r w:rsidRPr="00C717DA">
              <w:rPr>
                <w:bCs/>
                <w:color w:val="000000"/>
              </w:rPr>
              <w:t>Employment</w:t>
            </w:r>
            <w:proofErr w:type="spellEnd"/>
          </w:p>
        </w:tc>
        <w:tc>
          <w:tcPr>
            <w:tcW w:w="14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0.021</w:t>
            </w:r>
          </w:p>
        </w:tc>
        <w:tc>
          <w:tcPr>
            <w:tcW w:w="11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0.004</w:t>
            </w:r>
          </w:p>
        </w:tc>
        <w:tc>
          <w:tcPr>
            <w:tcW w:w="156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18.76</w:t>
            </w:r>
          </w:p>
        </w:tc>
        <w:tc>
          <w:tcPr>
            <w:tcW w:w="232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1.4%</w:t>
            </w:r>
          </w:p>
        </w:tc>
      </w:tr>
      <w:tr w:rsidR="00491AD6" w:rsidRPr="00491AD6" w:rsidTr="008A76D0">
        <w:trPr>
          <w:trHeight w:val="300"/>
        </w:trPr>
        <w:tc>
          <w:tcPr>
            <w:tcW w:w="2220" w:type="dxa"/>
            <w:tcBorders>
              <w:top w:val="nil"/>
              <w:left w:val="nil"/>
              <w:bottom w:val="nil"/>
              <w:right w:val="nil"/>
            </w:tcBorders>
            <w:shd w:val="clear" w:color="auto" w:fill="auto"/>
            <w:hideMark/>
          </w:tcPr>
          <w:p w:rsidR="00491AD6" w:rsidRPr="00C717DA" w:rsidRDefault="00491AD6" w:rsidP="008A76D0">
            <w:pPr>
              <w:rPr>
                <w:bCs/>
                <w:color w:val="000000"/>
              </w:rPr>
            </w:pPr>
            <w:proofErr w:type="spellStart"/>
            <w:r w:rsidRPr="00C717DA">
              <w:rPr>
                <w:bCs/>
                <w:color w:val="000000"/>
              </w:rPr>
              <w:t>Empl</w:t>
            </w:r>
            <w:proofErr w:type="spellEnd"/>
            <w:r w:rsidRPr="00C717DA">
              <w:rPr>
                <w:bCs/>
                <w:color w:val="000000"/>
              </w:rPr>
              <w:t xml:space="preserve">. </w:t>
            </w:r>
            <w:proofErr w:type="spellStart"/>
            <w:r w:rsidRPr="00C717DA">
              <w:rPr>
                <w:bCs/>
                <w:color w:val="000000"/>
              </w:rPr>
              <w:t>Density</w:t>
            </w:r>
            <w:proofErr w:type="spellEnd"/>
          </w:p>
        </w:tc>
        <w:tc>
          <w:tcPr>
            <w:tcW w:w="14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0.019</w:t>
            </w:r>
          </w:p>
        </w:tc>
        <w:tc>
          <w:tcPr>
            <w:tcW w:w="118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0.004</w:t>
            </w:r>
          </w:p>
        </w:tc>
        <w:tc>
          <w:tcPr>
            <w:tcW w:w="156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16.71</w:t>
            </w:r>
          </w:p>
        </w:tc>
        <w:tc>
          <w:tcPr>
            <w:tcW w:w="2320" w:type="dxa"/>
            <w:tcBorders>
              <w:top w:val="nil"/>
              <w:left w:val="nil"/>
              <w:bottom w:val="nil"/>
              <w:right w:val="nil"/>
            </w:tcBorders>
            <w:shd w:val="clear" w:color="auto" w:fill="auto"/>
            <w:hideMark/>
          </w:tcPr>
          <w:p w:rsidR="00491AD6" w:rsidRPr="00491AD6" w:rsidRDefault="00491AD6" w:rsidP="008A76D0">
            <w:pPr>
              <w:jc w:val="center"/>
              <w:rPr>
                <w:color w:val="000000"/>
              </w:rPr>
            </w:pPr>
            <w:r w:rsidRPr="00491AD6">
              <w:rPr>
                <w:color w:val="000000"/>
              </w:rPr>
              <w:t>1.3%</w:t>
            </w:r>
          </w:p>
        </w:tc>
      </w:tr>
    </w:tbl>
    <w:p w:rsidR="00491AD6" w:rsidRPr="00491AD6" w:rsidRDefault="00491AD6" w:rsidP="00491AD6">
      <w:pPr>
        <w:pStyle w:val="ICABRNormalParagraph"/>
        <w:rPr>
          <w:rFonts w:ascii="Times New Roman" w:hAnsi="Times New Roman"/>
          <w:sz w:val="24"/>
          <w:szCs w:val="24"/>
        </w:rPr>
      </w:pPr>
    </w:p>
    <w:p w:rsidR="00491AD6" w:rsidRDefault="006F24E2" w:rsidP="00BE2B1C">
      <w:pPr>
        <w:spacing w:before="120" w:after="120" w:line="360" w:lineRule="auto"/>
        <w:jc w:val="both"/>
        <w:rPr>
          <w:lang w:val="en-GB"/>
        </w:rPr>
      </w:pPr>
      <w:r w:rsidRPr="00491AD6">
        <w:rPr>
          <w:lang w:val="en-GB"/>
        </w:rPr>
        <w:t xml:space="preserve">Even if one is to doubt about the independence of the cross-section samples, these estimates provide guidance about the over(under) valuation of the productivity of cities </w:t>
      </w:r>
      <w:r>
        <w:rPr>
          <w:lang w:val="en-GB"/>
        </w:rPr>
        <w:t xml:space="preserve">using the value added approach. Although the significance of the estimates can be under suspicion, the estimates and the implied productivity deviations are unbiased. </w:t>
      </w:r>
      <w:r w:rsidR="00491AD6" w:rsidRPr="00491AD6">
        <w:rPr>
          <w:lang w:val="en-GB"/>
        </w:rPr>
        <w:t xml:space="preserve">Because of the cross-section regression, the only problem is the possible correlation among the </w:t>
      </w:r>
      <w:r w:rsidR="00491AD6" w:rsidRPr="00491AD6">
        <w:rPr>
          <w:lang w:val="en-GB"/>
        </w:rPr>
        <w:lastRenderedPageBreak/>
        <w:t xml:space="preserve">residuals for different provinces for each time period t. Although an estimate using spatial correction would be more efficient, ordinary least squares estimates </w:t>
      </w:r>
      <w:r w:rsidR="00491AD6" w:rsidRPr="00491AD6">
        <w:rPr>
          <w:rFonts w:ascii="Symbol" w:hAnsi="Symbol"/>
          <w:lang w:val="en-GB"/>
        </w:rPr>
        <w:t></w:t>
      </w:r>
      <w:r w:rsidR="00491AD6" w:rsidRPr="00491AD6">
        <w:rPr>
          <w:vertAlign w:val="subscript"/>
          <w:lang w:val="en-GB"/>
        </w:rPr>
        <w:t>t</w:t>
      </w:r>
      <w:r w:rsidR="00491AD6" w:rsidRPr="00491AD6">
        <w:rPr>
          <w:lang w:val="en-GB"/>
        </w:rPr>
        <w:t xml:space="preserve"> are unbiased</w:t>
      </w:r>
      <w:r w:rsidR="00491AD6">
        <w:rPr>
          <w:lang w:val="en-GB"/>
        </w:rPr>
        <w:t xml:space="preserve"> as required </w:t>
      </w:r>
      <w:r w:rsidR="00491AD6" w:rsidRPr="00491AD6">
        <w:rPr>
          <w:lang w:val="en-GB"/>
        </w:rPr>
        <w:t xml:space="preserve">for the test of the marginal significance of the </w:t>
      </w:r>
      <w:proofErr w:type="spellStart"/>
      <w:r w:rsidR="00491AD6" w:rsidRPr="00491AD6">
        <w:rPr>
          <w:lang w:val="en-GB"/>
        </w:rPr>
        <w:t>Domar</w:t>
      </w:r>
      <w:proofErr w:type="spellEnd"/>
      <w:r w:rsidR="00491AD6" w:rsidRPr="00491AD6">
        <w:rPr>
          <w:lang w:val="en-GB"/>
        </w:rPr>
        <w:t xml:space="preserve">-city size relationship. </w:t>
      </w:r>
    </w:p>
    <w:p w:rsidR="006F24E2" w:rsidRPr="006F24E2" w:rsidRDefault="006F24E2" w:rsidP="006F24E2">
      <w:pPr>
        <w:spacing w:before="120" w:after="120" w:line="360" w:lineRule="auto"/>
        <w:jc w:val="both"/>
        <w:rPr>
          <w:lang w:val="en-GB"/>
        </w:rPr>
      </w:pPr>
      <w:r w:rsidRPr="006F24E2">
        <w:rPr>
          <w:lang w:val="en-GB"/>
        </w:rPr>
        <w:t xml:space="preserve">For agriculture, the value added approach overvalues the productivity of Spanish provinces. Of course, agriculture is not usually considered in the urbanization literature. The results </w:t>
      </w:r>
      <w:r w:rsidR="0072392B">
        <w:rPr>
          <w:lang w:val="en-GB"/>
        </w:rPr>
        <w:t xml:space="preserve">for agriculture </w:t>
      </w:r>
      <w:r w:rsidRPr="006F24E2">
        <w:rPr>
          <w:lang w:val="en-GB"/>
        </w:rPr>
        <w:t xml:space="preserve">involving province size can be probably explained according to intensification (and decreasing marginal productivity of inputs) and increasing production, following classical von </w:t>
      </w:r>
      <w:proofErr w:type="spellStart"/>
      <w:r w:rsidRPr="006F24E2">
        <w:rPr>
          <w:lang w:val="en-GB"/>
        </w:rPr>
        <w:t>Thünen</w:t>
      </w:r>
      <w:proofErr w:type="spellEnd"/>
      <w:r w:rsidRPr="006F24E2">
        <w:rPr>
          <w:lang w:val="en-GB"/>
        </w:rPr>
        <w:t xml:space="preserve"> developments because large cities </w:t>
      </w:r>
      <w:r>
        <w:rPr>
          <w:lang w:val="en-GB"/>
        </w:rPr>
        <w:t>imply</w:t>
      </w:r>
      <w:r w:rsidRPr="006F24E2">
        <w:rPr>
          <w:lang w:val="en-GB"/>
        </w:rPr>
        <w:t xml:space="preserve"> large demand areas. </w:t>
      </w:r>
    </w:p>
    <w:p w:rsidR="006F24E2" w:rsidRPr="006F24E2" w:rsidRDefault="006F24E2" w:rsidP="006F24E2">
      <w:pPr>
        <w:spacing w:before="120" w:after="120" w:line="360" w:lineRule="auto"/>
        <w:jc w:val="both"/>
        <w:rPr>
          <w:lang w:val="en-GB"/>
        </w:rPr>
      </w:pPr>
      <w:r w:rsidRPr="006F24E2">
        <w:rPr>
          <w:lang w:val="en-GB"/>
        </w:rPr>
        <w:t>A decreasing value added share (</w:t>
      </w:r>
      <w:r w:rsidR="0087399A">
        <w:rPr>
          <w:lang w:val="en-GB"/>
        </w:rPr>
        <w:t xml:space="preserve">or </w:t>
      </w:r>
      <w:r w:rsidRPr="006F24E2">
        <w:rPr>
          <w:lang w:val="en-GB"/>
        </w:rPr>
        <w:t xml:space="preserve">increasing </w:t>
      </w:r>
      <w:proofErr w:type="spellStart"/>
      <w:r w:rsidRPr="006F24E2">
        <w:rPr>
          <w:lang w:val="en-GB"/>
        </w:rPr>
        <w:t>Domar</w:t>
      </w:r>
      <w:proofErr w:type="spellEnd"/>
      <w:r w:rsidRPr="006F24E2">
        <w:rPr>
          <w:lang w:val="en-GB"/>
        </w:rPr>
        <w:t xml:space="preserve"> factor) with size is found also for the services sector. Although we can explain the results by means of the quantity effects of thick input markets, the very large productivity of cities in the services sectors, 8% above average in the </w:t>
      </w:r>
      <w:proofErr w:type="spellStart"/>
      <w:r w:rsidRPr="006F24E2">
        <w:rPr>
          <w:lang w:val="en-GB"/>
        </w:rPr>
        <w:t>Melo</w:t>
      </w:r>
      <w:proofErr w:type="spellEnd"/>
      <w:r w:rsidRPr="006F24E2">
        <w:rPr>
          <w:lang w:val="en-GB"/>
        </w:rPr>
        <w:t xml:space="preserve"> et al. (2009) survey, is overvalued in less than 1.5%.</w:t>
      </w:r>
    </w:p>
    <w:p w:rsidR="006F24E2" w:rsidRDefault="006F24E2" w:rsidP="006F24E2">
      <w:pPr>
        <w:spacing w:before="120" w:after="120" w:line="360" w:lineRule="auto"/>
        <w:jc w:val="both"/>
        <w:rPr>
          <w:lang w:val="en-GB"/>
        </w:rPr>
      </w:pPr>
      <w:r w:rsidRPr="006F24E2">
        <w:rPr>
          <w:lang w:val="en-GB"/>
        </w:rPr>
        <w:t xml:space="preserve">On the contrary, for construction and manufacturing the value added approach undervalues the productivity of cities around 2.5-3%. These are very high, and perhaps unexpected, values. The explanation is the importance of the price effects in thick input markets, where inputs are very probably tradable but subject to transport costs. In </w:t>
      </w:r>
      <w:proofErr w:type="spellStart"/>
      <w:r w:rsidRPr="006F24E2">
        <w:rPr>
          <w:lang w:val="en-GB"/>
        </w:rPr>
        <w:t>Melo</w:t>
      </w:r>
      <w:proofErr w:type="spellEnd"/>
      <w:r w:rsidRPr="006F24E2">
        <w:rPr>
          <w:lang w:val="en-GB"/>
        </w:rPr>
        <w:t xml:space="preserve"> at al. (2009), manufacturing is the baseline.</w:t>
      </w:r>
    </w:p>
    <w:p w:rsidR="0087399A" w:rsidRDefault="006F24E2" w:rsidP="006F24E2">
      <w:pPr>
        <w:spacing w:before="120" w:after="120" w:line="360" w:lineRule="auto"/>
        <w:jc w:val="both"/>
        <w:rPr>
          <w:lang w:val="en-GB"/>
        </w:rPr>
      </w:pPr>
      <w:r w:rsidRPr="006F24E2">
        <w:rPr>
          <w:lang w:val="en-GB"/>
        </w:rPr>
        <w:t xml:space="preserve">It is interesting to delve into the empirical analysis by trying to solve the problem of the lack of independence of the different b for a given sector at different times.  To this end, </w:t>
      </w:r>
      <w:r w:rsidR="00C24EE5">
        <w:rPr>
          <w:lang w:val="en-GB"/>
        </w:rPr>
        <w:t>we</w:t>
      </w:r>
      <w:r>
        <w:rPr>
          <w:lang w:val="en-GB"/>
        </w:rPr>
        <w:t xml:space="preserve"> </w:t>
      </w:r>
      <w:r w:rsidRPr="006F24E2">
        <w:rPr>
          <w:lang w:val="en-GB"/>
        </w:rPr>
        <w:t xml:space="preserve">will </w:t>
      </w:r>
      <w:r w:rsidR="00C24EE5">
        <w:rPr>
          <w:lang w:val="en-GB"/>
        </w:rPr>
        <w:t>test</w:t>
      </w:r>
      <w:r w:rsidRPr="006F24E2">
        <w:rPr>
          <w:lang w:val="en-GB"/>
        </w:rPr>
        <w:t xml:space="preserve"> on different industrial subsectors, although with a greater spatial aggregation, at </w:t>
      </w:r>
      <w:r>
        <w:rPr>
          <w:lang w:val="en-GB"/>
        </w:rPr>
        <w:t>the region</w:t>
      </w:r>
      <w:r w:rsidRPr="006F24E2">
        <w:rPr>
          <w:lang w:val="en-GB"/>
        </w:rPr>
        <w:t xml:space="preserve"> level. </w:t>
      </w:r>
      <w:r w:rsidR="00C24EE5">
        <w:rPr>
          <w:lang w:val="en-GB"/>
        </w:rPr>
        <w:t>D</w:t>
      </w:r>
      <w:r w:rsidRPr="006F24E2">
        <w:rPr>
          <w:lang w:val="en-GB"/>
        </w:rPr>
        <w:t xml:space="preserve">ata </w:t>
      </w:r>
      <w:r w:rsidR="00C24EE5">
        <w:rPr>
          <w:lang w:val="en-GB"/>
        </w:rPr>
        <w:t>is</w:t>
      </w:r>
      <w:r w:rsidRPr="006F24E2">
        <w:rPr>
          <w:lang w:val="en-GB"/>
        </w:rPr>
        <w:t xml:space="preserve"> from the Industrial </w:t>
      </w:r>
      <w:r w:rsidR="001D4E02">
        <w:rPr>
          <w:lang w:val="en-GB"/>
        </w:rPr>
        <w:t>Firm</w:t>
      </w:r>
      <w:r w:rsidRPr="006F24E2">
        <w:rPr>
          <w:lang w:val="en-GB"/>
        </w:rPr>
        <w:t xml:space="preserve"> Survey </w:t>
      </w:r>
      <w:r w:rsidR="001D4E02">
        <w:rPr>
          <w:lang w:val="en-GB"/>
        </w:rPr>
        <w:t xml:space="preserve">NACE1993 </w:t>
      </w:r>
      <w:r w:rsidRPr="006F24E2">
        <w:rPr>
          <w:lang w:val="en-GB"/>
        </w:rPr>
        <w:t xml:space="preserve">1993 to </w:t>
      </w:r>
      <w:r w:rsidR="001D4E02">
        <w:rPr>
          <w:lang w:val="en-GB"/>
        </w:rPr>
        <w:t>2007</w:t>
      </w:r>
      <w:r>
        <w:rPr>
          <w:lang w:val="en-GB"/>
        </w:rPr>
        <w:t xml:space="preserve"> in Spain</w:t>
      </w:r>
      <w:r w:rsidR="001D4E02">
        <w:rPr>
          <w:lang w:val="en-GB"/>
        </w:rPr>
        <w:t xml:space="preserve"> (</w:t>
      </w:r>
      <w:proofErr w:type="spellStart"/>
      <w:r w:rsidR="001D4E02">
        <w:rPr>
          <w:lang w:val="en-GB"/>
        </w:rPr>
        <w:t>Encuesta</w:t>
      </w:r>
      <w:proofErr w:type="spellEnd"/>
      <w:r w:rsidR="001D4E02">
        <w:rPr>
          <w:lang w:val="en-GB"/>
        </w:rPr>
        <w:t xml:space="preserve"> Industrial de </w:t>
      </w:r>
      <w:proofErr w:type="spellStart"/>
      <w:r w:rsidR="001D4E02">
        <w:rPr>
          <w:lang w:val="en-GB"/>
        </w:rPr>
        <w:t>Empresas</w:t>
      </w:r>
      <w:proofErr w:type="spellEnd"/>
      <w:r w:rsidR="001D4E02">
        <w:rPr>
          <w:lang w:val="en-GB"/>
        </w:rPr>
        <w:t>)</w:t>
      </w:r>
      <w:r w:rsidRPr="006F24E2">
        <w:rPr>
          <w:lang w:val="en-GB"/>
        </w:rPr>
        <w:t xml:space="preserve">. The 17 Spanish Autonomous Communities and 12 manufacturing subsectors are </w:t>
      </w:r>
      <w:r>
        <w:rPr>
          <w:lang w:val="en-GB"/>
        </w:rPr>
        <w:t>analysed</w:t>
      </w:r>
      <w:r w:rsidRPr="006F24E2">
        <w:rPr>
          <w:lang w:val="en-GB"/>
        </w:rPr>
        <w:t xml:space="preserve"> for these years. </w:t>
      </w:r>
      <w:r w:rsidR="001D4E02">
        <w:rPr>
          <w:lang w:val="en-GB"/>
        </w:rPr>
        <w:t>Value added is measured as the difference between  '</w:t>
      </w:r>
      <w:proofErr w:type="spellStart"/>
      <w:r w:rsidR="001D4E02">
        <w:rPr>
          <w:lang w:val="en-GB"/>
        </w:rPr>
        <w:t>Ingresos</w:t>
      </w:r>
      <w:proofErr w:type="spellEnd"/>
      <w:r w:rsidR="001D4E02">
        <w:rPr>
          <w:lang w:val="en-GB"/>
        </w:rPr>
        <w:t xml:space="preserve"> </w:t>
      </w:r>
      <w:proofErr w:type="spellStart"/>
      <w:r w:rsidR="001D4E02">
        <w:rPr>
          <w:lang w:val="en-GB"/>
        </w:rPr>
        <w:t>Totales</w:t>
      </w:r>
      <w:proofErr w:type="spellEnd"/>
      <w:r w:rsidR="001D4E02">
        <w:rPr>
          <w:lang w:val="en-GB"/>
        </w:rPr>
        <w:t xml:space="preserve"> de </w:t>
      </w:r>
      <w:proofErr w:type="spellStart"/>
      <w:r w:rsidR="001D4E02">
        <w:rPr>
          <w:lang w:val="en-GB"/>
        </w:rPr>
        <w:t>Explotación</w:t>
      </w:r>
      <w:proofErr w:type="spellEnd"/>
      <w:r w:rsidR="001D4E02">
        <w:rPr>
          <w:lang w:val="en-GB"/>
        </w:rPr>
        <w:t>', which is the output measure, and '</w:t>
      </w:r>
      <w:proofErr w:type="spellStart"/>
      <w:r w:rsidR="001D4E02" w:rsidRPr="001D4E02">
        <w:rPr>
          <w:lang w:val="en-GB"/>
        </w:rPr>
        <w:t>Consumos</w:t>
      </w:r>
      <w:proofErr w:type="spellEnd"/>
      <w:r w:rsidR="001D4E02" w:rsidRPr="001D4E02">
        <w:rPr>
          <w:lang w:val="en-GB"/>
        </w:rPr>
        <w:t xml:space="preserve"> y </w:t>
      </w:r>
      <w:proofErr w:type="spellStart"/>
      <w:r w:rsidR="001D4E02" w:rsidRPr="001D4E02">
        <w:rPr>
          <w:lang w:val="en-GB"/>
        </w:rPr>
        <w:t>trabajos</w:t>
      </w:r>
      <w:proofErr w:type="spellEnd"/>
      <w:r w:rsidR="001D4E02" w:rsidRPr="001D4E02">
        <w:rPr>
          <w:lang w:val="en-GB"/>
        </w:rPr>
        <w:t xml:space="preserve"> </w:t>
      </w:r>
      <w:proofErr w:type="spellStart"/>
      <w:r w:rsidR="001D4E02" w:rsidRPr="001D4E02">
        <w:rPr>
          <w:lang w:val="en-GB"/>
        </w:rPr>
        <w:t>realizados</w:t>
      </w:r>
      <w:proofErr w:type="spellEnd"/>
      <w:r w:rsidR="001D4E02" w:rsidRPr="001D4E02">
        <w:rPr>
          <w:lang w:val="en-GB"/>
        </w:rPr>
        <w:t xml:space="preserve"> </w:t>
      </w:r>
      <w:proofErr w:type="spellStart"/>
      <w:r w:rsidR="001D4E02" w:rsidRPr="001D4E02">
        <w:rPr>
          <w:lang w:val="en-GB"/>
        </w:rPr>
        <w:t>por</w:t>
      </w:r>
      <w:proofErr w:type="spellEnd"/>
      <w:r w:rsidR="001D4E02" w:rsidRPr="001D4E02">
        <w:rPr>
          <w:lang w:val="en-GB"/>
        </w:rPr>
        <w:t xml:space="preserve"> </w:t>
      </w:r>
      <w:proofErr w:type="spellStart"/>
      <w:r w:rsidR="001D4E02" w:rsidRPr="001D4E02">
        <w:rPr>
          <w:lang w:val="en-GB"/>
        </w:rPr>
        <w:t>otras</w:t>
      </w:r>
      <w:proofErr w:type="spellEnd"/>
      <w:r w:rsidR="001D4E02" w:rsidRPr="001D4E02">
        <w:rPr>
          <w:lang w:val="en-GB"/>
        </w:rPr>
        <w:t xml:space="preserve"> </w:t>
      </w:r>
      <w:proofErr w:type="spellStart"/>
      <w:r w:rsidR="001D4E02" w:rsidRPr="001D4E02">
        <w:rPr>
          <w:lang w:val="en-GB"/>
        </w:rPr>
        <w:t>empresas</w:t>
      </w:r>
      <w:proofErr w:type="spellEnd"/>
      <w:r w:rsidR="001D4E02">
        <w:rPr>
          <w:lang w:val="en-GB"/>
        </w:rPr>
        <w:t xml:space="preserve">', the measure of intermediate consumption. </w:t>
      </w:r>
      <w:r w:rsidRPr="006F24E2">
        <w:rPr>
          <w:lang w:val="en-GB"/>
        </w:rPr>
        <w:t xml:space="preserve">The subsectors with the summary of results of the methodology described above are shown in Table 2. The size variables are the same as previously, population and employment, both in levels and </w:t>
      </w:r>
      <w:r w:rsidR="00C24EE5">
        <w:rPr>
          <w:lang w:val="en-GB"/>
        </w:rPr>
        <w:t xml:space="preserve">in </w:t>
      </w:r>
      <w:r w:rsidRPr="006F24E2">
        <w:rPr>
          <w:lang w:val="en-GB"/>
        </w:rPr>
        <w:t xml:space="preserve">density. </w:t>
      </w:r>
      <w:r w:rsidR="0087399A" w:rsidRPr="006F24E2">
        <w:rPr>
          <w:lang w:val="en-GB"/>
        </w:rPr>
        <w:t xml:space="preserve">For each sector-year pair, a regression of cross-sectional section is made according to equation </w:t>
      </w:r>
      <w:r w:rsidR="0087399A">
        <w:rPr>
          <w:lang w:val="en-GB"/>
        </w:rPr>
        <w:t>(</w:t>
      </w:r>
      <w:r w:rsidR="0087399A" w:rsidRPr="006F24E2">
        <w:rPr>
          <w:lang w:val="en-GB"/>
        </w:rPr>
        <w:t>10</w:t>
      </w:r>
      <w:r w:rsidR="0087399A">
        <w:rPr>
          <w:lang w:val="en-GB"/>
        </w:rPr>
        <w:t>)</w:t>
      </w:r>
      <w:r w:rsidR="0087399A" w:rsidRPr="006F24E2">
        <w:rPr>
          <w:lang w:val="en-GB"/>
        </w:rPr>
        <w:t>, with the 17 regional observations.</w:t>
      </w:r>
    </w:p>
    <w:p w:rsidR="006F24E2" w:rsidRDefault="006F24E2" w:rsidP="006F24E2">
      <w:pPr>
        <w:spacing w:before="120" w:after="120" w:line="360" w:lineRule="auto"/>
        <w:jc w:val="both"/>
        <w:rPr>
          <w:lang w:val="en-GB"/>
        </w:rPr>
      </w:pPr>
      <w:r w:rsidRPr="006F24E2">
        <w:rPr>
          <w:lang w:val="en-GB"/>
        </w:rPr>
        <w:lastRenderedPageBreak/>
        <w:t xml:space="preserve">Table 2 shows the result of the test on the </w:t>
      </w:r>
      <w:r w:rsidR="00B35A97">
        <w:rPr>
          <w:lang w:val="en-GB"/>
        </w:rPr>
        <w:t xml:space="preserve">15 </w:t>
      </w:r>
      <w:r w:rsidRPr="006F24E2">
        <w:rPr>
          <w:lang w:val="en-GB"/>
        </w:rPr>
        <w:t xml:space="preserve">years samples for the 12 sectors. </w:t>
      </w:r>
      <w:r w:rsidR="009226F8">
        <w:rPr>
          <w:lang w:val="en-GB"/>
        </w:rPr>
        <w:t xml:space="preserve">For reasons of space the particular results are not presented in Appendix. </w:t>
      </w:r>
      <w:r w:rsidRPr="006F24E2">
        <w:rPr>
          <w:lang w:val="en-GB"/>
        </w:rPr>
        <w:t xml:space="preserve">Of course, the problem of non-independence </w:t>
      </w:r>
      <w:r w:rsidR="00C24EE5">
        <w:rPr>
          <w:lang w:val="en-GB"/>
        </w:rPr>
        <w:t>remains</w:t>
      </w:r>
      <w:r w:rsidRPr="006F24E2">
        <w:rPr>
          <w:lang w:val="en-GB"/>
        </w:rPr>
        <w:t xml:space="preserve"> </w:t>
      </w:r>
      <w:r w:rsidR="00C24EE5">
        <w:rPr>
          <w:lang w:val="en-GB"/>
        </w:rPr>
        <w:t>here, as in the province analyses</w:t>
      </w:r>
      <w:r w:rsidRPr="006F24E2">
        <w:rPr>
          <w:lang w:val="en-GB"/>
        </w:rPr>
        <w:t xml:space="preserve">, but it is interesting the pattern of results. </w:t>
      </w:r>
    </w:p>
    <w:p w:rsidR="00C717DA" w:rsidRDefault="00C24EE5" w:rsidP="00C717DA">
      <w:pPr>
        <w:pStyle w:val="ICABRPictures-Tables"/>
        <w:rPr>
          <w:rFonts w:ascii="Times New Roman" w:hAnsi="Times New Roman"/>
          <w:sz w:val="24"/>
          <w:szCs w:val="24"/>
        </w:rPr>
      </w:pPr>
      <w:r w:rsidRPr="00491AD6">
        <w:rPr>
          <w:rFonts w:ascii="Times New Roman" w:hAnsi="Times New Roman"/>
          <w:sz w:val="24"/>
          <w:szCs w:val="24"/>
        </w:rPr>
        <w:t>Tab</w:t>
      </w:r>
      <w:r w:rsidR="0087399A">
        <w:rPr>
          <w:rFonts w:ascii="Times New Roman" w:hAnsi="Times New Roman"/>
          <w:sz w:val="24"/>
          <w:szCs w:val="24"/>
        </w:rPr>
        <w:t>le</w:t>
      </w:r>
      <w:r w:rsidRPr="00491AD6">
        <w:rPr>
          <w:rFonts w:ascii="Times New Roman" w:hAnsi="Times New Roman"/>
          <w:sz w:val="24"/>
          <w:szCs w:val="24"/>
        </w:rPr>
        <w:t> </w:t>
      </w:r>
      <w:r>
        <w:rPr>
          <w:rFonts w:ascii="Times New Roman" w:hAnsi="Times New Roman"/>
          <w:sz w:val="24"/>
          <w:szCs w:val="24"/>
        </w:rPr>
        <w:t>2</w:t>
      </w:r>
      <w:r w:rsidR="0087399A">
        <w:rPr>
          <w:rFonts w:ascii="Times New Roman" w:hAnsi="Times New Roman"/>
          <w:sz w:val="24"/>
          <w:szCs w:val="24"/>
        </w:rPr>
        <w:t>.</w:t>
      </w:r>
      <w:r w:rsidRPr="00491AD6">
        <w:rPr>
          <w:rFonts w:ascii="Times New Roman" w:hAnsi="Times New Roman"/>
          <w:sz w:val="24"/>
          <w:szCs w:val="24"/>
        </w:rPr>
        <w:t xml:space="preserve"> </w:t>
      </w:r>
      <w:proofErr w:type="spellStart"/>
      <w:r w:rsidRPr="00491AD6">
        <w:rPr>
          <w:rFonts w:ascii="Times New Roman" w:hAnsi="Times New Roman"/>
          <w:sz w:val="24"/>
          <w:szCs w:val="24"/>
        </w:rPr>
        <w:t>Domar</w:t>
      </w:r>
      <w:proofErr w:type="spellEnd"/>
      <w:r w:rsidRPr="00491AD6">
        <w:rPr>
          <w:rFonts w:ascii="Times New Roman" w:hAnsi="Times New Roman"/>
          <w:sz w:val="24"/>
          <w:szCs w:val="24"/>
        </w:rPr>
        <w:t xml:space="preserve"> Factor versus </w:t>
      </w:r>
      <w:r>
        <w:rPr>
          <w:rFonts w:ascii="Times New Roman" w:hAnsi="Times New Roman"/>
          <w:sz w:val="24"/>
          <w:szCs w:val="24"/>
        </w:rPr>
        <w:t>Region</w:t>
      </w:r>
      <w:r w:rsidRPr="00491AD6">
        <w:rPr>
          <w:rFonts w:ascii="Times New Roman" w:hAnsi="Times New Roman"/>
          <w:sz w:val="24"/>
          <w:szCs w:val="24"/>
        </w:rPr>
        <w:t xml:space="preserve"> Size</w:t>
      </w:r>
      <w:r>
        <w:rPr>
          <w:rFonts w:ascii="Times New Roman" w:hAnsi="Times New Roman"/>
          <w:sz w:val="24"/>
          <w:szCs w:val="24"/>
        </w:rPr>
        <w:t>, by Sector</w:t>
      </w:r>
      <w:r w:rsidRPr="00491AD6">
        <w:rPr>
          <w:rFonts w:ascii="Times New Roman" w:hAnsi="Times New Roman"/>
          <w:sz w:val="24"/>
          <w:szCs w:val="24"/>
        </w:rPr>
        <w:t>. t-Tests.</w:t>
      </w:r>
    </w:p>
    <w:tbl>
      <w:tblPr>
        <w:tblW w:w="8946" w:type="dxa"/>
        <w:tblInd w:w="55" w:type="dxa"/>
        <w:tblLayout w:type="fixed"/>
        <w:tblCellMar>
          <w:left w:w="70" w:type="dxa"/>
          <w:right w:w="70" w:type="dxa"/>
        </w:tblCellMar>
        <w:tblLook w:val="04A0"/>
      </w:tblPr>
      <w:tblGrid>
        <w:gridCol w:w="2850"/>
        <w:gridCol w:w="1418"/>
        <w:gridCol w:w="1276"/>
        <w:gridCol w:w="1417"/>
        <w:gridCol w:w="992"/>
        <w:gridCol w:w="993"/>
      </w:tblGrid>
      <w:tr w:rsidR="00C717DA" w:rsidRPr="00C717DA" w:rsidTr="00B35A97">
        <w:trPr>
          <w:trHeight w:val="300"/>
        </w:trPr>
        <w:tc>
          <w:tcPr>
            <w:tcW w:w="2850" w:type="dxa"/>
            <w:tcBorders>
              <w:top w:val="nil"/>
              <w:left w:val="nil"/>
              <w:bottom w:val="nil"/>
              <w:right w:val="nil"/>
            </w:tcBorders>
            <w:shd w:val="clear" w:color="auto" w:fill="auto"/>
            <w:noWrap/>
            <w:vAlign w:val="bottom"/>
            <w:hideMark/>
          </w:tcPr>
          <w:p w:rsidR="00C717DA" w:rsidRPr="00C717DA" w:rsidRDefault="00C717DA" w:rsidP="00C717DA">
            <w:pPr>
              <w:rPr>
                <w:b/>
                <w:color w:val="000000"/>
              </w:rPr>
            </w:pPr>
            <w:r w:rsidRPr="00C717DA">
              <w:rPr>
                <w:b/>
                <w:color w:val="000000"/>
              </w:rPr>
              <w:t>Sector</w:t>
            </w:r>
          </w:p>
        </w:tc>
        <w:tc>
          <w:tcPr>
            <w:tcW w:w="1418" w:type="dxa"/>
            <w:tcBorders>
              <w:top w:val="nil"/>
              <w:left w:val="nil"/>
              <w:bottom w:val="nil"/>
              <w:right w:val="nil"/>
            </w:tcBorders>
            <w:shd w:val="clear" w:color="auto" w:fill="auto"/>
            <w:noWrap/>
            <w:vAlign w:val="bottom"/>
            <w:hideMark/>
          </w:tcPr>
          <w:p w:rsidR="00C717DA" w:rsidRPr="00C717DA" w:rsidRDefault="00C717DA" w:rsidP="00C717DA">
            <w:pPr>
              <w:rPr>
                <w:b/>
                <w:color w:val="000000"/>
              </w:rPr>
            </w:pPr>
          </w:p>
        </w:tc>
        <w:tc>
          <w:tcPr>
            <w:tcW w:w="1276" w:type="dxa"/>
            <w:tcBorders>
              <w:top w:val="nil"/>
              <w:left w:val="nil"/>
              <w:bottom w:val="nil"/>
              <w:right w:val="nil"/>
            </w:tcBorders>
            <w:shd w:val="clear" w:color="auto" w:fill="auto"/>
            <w:noWrap/>
            <w:vAlign w:val="bottom"/>
            <w:hideMark/>
          </w:tcPr>
          <w:p w:rsidR="00C717DA" w:rsidRPr="00C717DA" w:rsidRDefault="00C717DA" w:rsidP="00B35A97">
            <w:pPr>
              <w:jc w:val="center"/>
              <w:rPr>
                <w:b/>
                <w:color w:val="000000"/>
              </w:rPr>
            </w:pPr>
            <w:proofErr w:type="spellStart"/>
            <w:r w:rsidRPr="00C717DA">
              <w:rPr>
                <w:b/>
                <w:color w:val="000000"/>
              </w:rPr>
              <w:t>Population</w:t>
            </w:r>
            <w:proofErr w:type="spellEnd"/>
          </w:p>
        </w:tc>
        <w:tc>
          <w:tcPr>
            <w:tcW w:w="1417" w:type="dxa"/>
            <w:tcBorders>
              <w:top w:val="nil"/>
              <w:left w:val="nil"/>
              <w:bottom w:val="nil"/>
              <w:right w:val="nil"/>
            </w:tcBorders>
            <w:shd w:val="clear" w:color="auto" w:fill="auto"/>
            <w:noWrap/>
            <w:vAlign w:val="bottom"/>
            <w:hideMark/>
          </w:tcPr>
          <w:p w:rsidR="00C717DA" w:rsidRPr="00C717DA" w:rsidRDefault="00C717DA" w:rsidP="00B35A97">
            <w:pPr>
              <w:jc w:val="center"/>
              <w:rPr>
                <w:b/>
                <w:color w:val="000000"/>
              </w:rPr>
            </w:pPr>
            <w:proofErr w:type="spellStart"/>
            <w:r w:rsidRPr="00C717DA">
              <w:rPr>
                <w:b/>
                <w:color w:val="000000"/>
              </w:rPr>
              <w:t>Empl</w:t>
            </w:r>
            <w:proofErr w:type="spellEnd"/>
            <w:r w:rsidR="00B35A97" w:rsidRPr="0087399A">
              <w:rPr>
                <w:b/>
                <w:color w:val="000000"/>
              </w:rPr>
              <w:t>.</w:t>
            </w:r>
          </w:p>
        </w:tc>
        <w:tc>
          <w:tcPr>
            <w:tcW w:w="992" w:type="dxa"/>
            <w:tcBorders>
              <w:top w:val="nil"/>
              <w:left w:val="nil"/>
              <w:bottom w:val="nil"/>
              <w:right w:val="nil"/>
            </w:tcBorders>
            <w:shd w:val="clear" w:color="auto" w:fill="auto"/>
            <w:noWrap/>
            <w:vAlign w:val="bottom"/>
            <w:hideMark/>
          </w:tcPr>
          <w:p w:rsidR="00C717DA" w:rsidRPr="00C717DA" w:rsidRDefault="00C717DA" w:rsidP="00B35A97">
            <w:pPr>
              <w:jc w:val="center"/>
              <w:rPr>
                <w:b/>
                <w:color w:val="000000"/>
              </w:rPr>
            </w:pPr>
            <w:r w:rsidRPr="00C717DA">
              <w:rPr>
                <w:b/>
                <w:color w:val="000000"/>
              </w:rPr>
              <w:t xml:space="preserve">Pop. </w:t>
            </w:r>
            <w:proofErr w:type="spellStart"/>
            <w:r w:rsidRPr="00C717DA">
              <w:rPr>
                <w:b/>
                <w:color w:val="000000"/>
              </w:rPr>
              <w:t>density</w:t>
            </w:r>
            <w:proofErr w:type="spellEnd"/>
          </w:p>
        </w:tc>
        <w:tc>
          <w:tcPr>
            <w:tcW w:w="993" w:type="dxa"/>
            <w:tcBorders>
              <w:top w:val="nil"/>
              <w:left w:val="nil"/>
              <w:bottom w:val="nil"/>
              <w:right w:val="nil"/>
            </w:tcBorders>
            <w:shd w:val="clear" w:color="auto" w:fill="auto"/>
            <w:noWrap/>
            <w:vAlign w:val="bottom"/>
            <w:hideMark/>
          </w:tcPr>
          <w:p w:rsidR="00C717DA" w:rsidRPr="00C717DA" w:rsidRDefault="00C717DA" w:rsidP="00B35A97">
            <w:pPr>
              <w:jc w:val="center"/>
              <w:rPr>
                <w:b/>
                <w:color w:val="000000"/>
              </w:rPr>
            </w:pPr>
            <w:proofErr w:type="spellStart"/>
            <w:r w:rsidRPr="00C717DA">
              <w:rPr>
                <w:b/>
                <w:color w:val="000000"/>
              </w:rPr>
              <w:t>Empl</w:t>
            </w:r>
            <w:proofErr w:type="spellEnd"/>
            <w:r w:rsidRPr="00C717DA">
              <w:rPr>
                <w:b/>
                <w:color w:val="000000"/>
              </w:rPr>
              <w:t xml:space="preserve">. </w:t>
            </w:r>
            <w:proofErr w:type="spellStart"/>
            <w:r w:rsidRPr="00C717DA">
              <w:rPr>
                <w:b/>
                <w:color w:val="000000"/>
              </w:rPr>
              <w:t>density</w:t>
            </w:r>
            <w:proofErr w:type="spellEnd"/>
          </w:p>
        </w:tc>
      </w:tr>
      <w:tr w:rsidR="00C717DA" w:rsidRPr="00C717DA" w:rsidTr="00C717DA">
        <w:trPr>
          <w:trHeight w:val="300"/>
        </w:trPr>
        <w:tc>
          <w:tcPr>
            <w:tcW w:w="2850" w:type="dxa"/>
            <w:vMerge w:val="restart"/>
            <w:tcBorders>
              <w:top w:val="nil"/>
              <w:left w:val="nil"/>
              <w:bottom w:val="nil"/>
              <w:right w:val="nil"/>
            </w:tcBorders>
            <w:shd w:val="clear" w:color="auto" w:fill="auto"/>
            <w:noWrap/>
            <w:vAlign w:val="bottom"/>
            <w:hideMark/>
          </w:tcPr>
          <w:p w:rsidR="00C717DA" w:rsidRPr="00B35A97" w:rsidRDefault="00C717DA" w:rsidP="00C717DA">
            <w:pPr>
              <w:rPr>
                <w:color w:val="000000"/>
              </w:rPr>
            </w:pPr>
            <w:r w:rsidRPr="00C717DA">
              <w:rPr>
                <w:color w:val="000000"/>
              </w:rPr>
              <w:t>1</w:t>
            </w:r>
            <w:r w:rsidRPr="00B35A97">
              <w:rPr>
                <w:color w:val="000000"/>
              </w:rPr>
              <w:t xml:space="preserve">  </w:t>
            </w:r>
            <w:proofErr w:type="spellStart"/>
            <w:r w:rsidRPr="00C717DA">
              <w:rPr>
                <w:color w:val="000000"/>
              </w:rPr>
              <w:t>Food</w:t>
            </w:r>
            <w:proofErr w:type="spellEnd"/>
            <w:r w:rsidRPr="00C717DA">
              <w:rPr>
                <w:color w:val="000000"/>
              </w:rPr>
              <w:t xml:space="preserve">, </w:t>
            </w:r>
            <w:proofErr w:type="spellStart"/>
            <w:r w:rsidRPr="00C717DA">
              <w:rPr>
                <w:color w:val="000000"/>
              </w:rPr>
              <w:t>beverages</w:t>
            </w:r>
            <w:proofErr w:type="spellEnd"/>
            <w:r w:rsidRPr="00B35A97">
              <w:rPr>
                <w:color w:val="000000"/>
              </w:rPr>
              <w:t xml:space="preserve">, </w:t>
            </w:r>
            <w:proofErr w:type="spellStart"/>
            <w:r w:rsidRPr="00C717DA">
              <w:rPr>
                <w:color w:val="000000"/>
              </w:rPr>
              <w:t>tobacco</w:t>
            </w:r>
            <w:proofErr w:type="spellEnd"/>
          </w:p>
          <w:p w:rsidR="00C717DA" w:rsidRPr="00B35A97" w:rsidRDefault="00C717DA" w:rsidP="00C717DA">
            <w:pPr>
              <w:rPr>
                <w:color w:val="000000"/>
              </w:rPr>
            </w:pPr>
            <w:r w:rsidRPr="00C717DA">
              <w:rPr>
                <w:color w:val="000000"/>
              </w:rPr>
              <w:t xml:space="preserve"> </w:t>
            </w:r>
          </w:p>
          <w:p w:rsidR="00C717DA" w:rsidRPr="00C717DA" w:rsidRDefault="00C717DA" w:rsidP="00C717DA">
            <w:pPr>
              <w:rPr>
                <w:color w:val="000000"/>
              </w:rPr>
            </w:pPr>
            <w:r w:rsidRPr="00C717DA">
              <w:rPr>
                <w:color w:val="000000"/>
              </w:rPr>
              <w:t>(NACE1993 15,16)</w:t>
            </w: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Mean</w:t>
            </w:r>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-0.0525</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-0.0655</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-0.1210</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-0.1190</w:t>
            </w:r>
          </w:p>
        </w:tc>
      </w:tr>
      <w:tr w:rsidR="00C717DA" w:rsidRPr="00C717DA" w:rsidTr="00C717DA">
        <w:trPr>
          <w:trHeight w:val="300"/>
        </w:trPr>
        <w:tc>
          <w:tcPr>
            <w:tcW w:w="2850" w:type="dxa"/>
            <w:vMerge/>
            <w:tcBorders>
              <w:top w:val="nil"/>
              <w:left w:val="nil"/>
              <w:bottom w:val="nil"/>
              <w:right w:val="nil"/>
            </w:tcBorders>
            <w:vAlign w:val="center"/>
            <w:hideMark/>
          </w:tcPr>
          <w:p w:rsidR="00C717DA" w:rsidRPr="00C717DA" w:rsidRDefault="00C717DA" w:rsidP="00C717DA">
            <w:pPr>
              <w:rPr>
                <w:color w:val="000000"/>
              </w:rPr>
            </w:pP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t</w:t>
            </w:r>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-10.02</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-12.43</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-15.57</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-16.03</w:t>
            </w:r>
          </w:p>
        </w:tc>
      </w:tr>
      <w:tr w:rsidR="00C717DA" w:rsidRPr="00C717DA" w:rsidTr="00C717DA">
        <w:trPr>
          <w:trHeight w:val="300"/>
        </w:trPr>
        <w:tc>
          <w:tcPr>
            <w:tcW w:w="2850" w:type="dxa"/>
            <w:vMerge/>
            <w:tcBorders>
              <w:top w:val="nil"/>
              <w:left w:val="nil"/>
              <w:bottom w:val="nil"/>
              <w:right w:val="nil"/>
            </w:tcBorders>
            <w:vAlign w:val="center"/>
            <w:hideMark/>
          </w:tcPr>
          <w:p w:rsidR="00C717DA" w:rsidRPr="00C717DA" w:rsidRDefault="00C717DA" w:rsidP="00C717DA">
            <w:pPr>
              <w:rPr>
                <w:color w:val="000000"/>
              </w:rPr>
            </w:pP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 xml:space="preserve">Domar </w:t>
            </w:r>
            <w:proofErr w:type="spellStart"/>
            <w:r w:rsidRPr="00C717DA">
              <w:rPr>
                <w:bCs/>
                <w:color w:val="000000"/>
              </w:rPr>
              <w:t>bias</w:t>
            </w:r>
            <w:proofErr w:type="spellEnd"/>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-3.6%</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-4.5%</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-8.4%</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-8.2%</w:t>
            </w:r>
          </w:p>
        </w:tc>
      </w:tr>
      <w:tr w:rsidR="00C717DA" w:rsidRPr="00C717DA" w:rsidTr="00C717DA">
        <w:trPr>
          <w:trHeight w:val="300"/>
        </w:trPr>
        <w:tc>
          <w:tcPr>
            <w:tcW w:w="2850" w:type="dxa"/>
            <w:vMerge w:val="restart"/>
            <w:tcBorders>
              <w:top w:val="nil"/>
              <w:left w:val="nil"/>
              <w:bottom w:val="nil"/>
              <w:right w:val="nil"/>
            </w:tcBorders>
            <w:shd w:val="clear" w:color="auto" w:fill="auto"/>
            <w:noWrap/>
            <w:vAlign w:val="bottom"/>
            <w:hideMark/>
          </w:tcPr>
          <w:p w:rsidR="00C717DA" w:rsidRPr="00B35A97" w:rsidRDefault="00C717DA" w:rsidP="00C717DA">
            <w:pPr>
              <w:rPr>
                <w:color w:val="000000"/>
              </w:rPr>
            </w:pPr>
            <w:r w:rsidRPr="00C717DA">
              <w:rPr>
                <w:color w:val="000000"/>
              </w:rPr>
              <w:t>2</w:t>
            </w:r>
            <w:r w:rsidRPr="00B35A97">
              <w:rPr>
                <w:color w:val="000000"/>
              </w:rPr>
              <w:t xml:space="preserve">  </w:t>
            </w:r>
            <w:proofErr w:type="spellStart"/>
            <w:r w:rsidRPr="00C717DA">
              <w:rPr>
                <w:color w:val="000000"/>
              </w:rPr>
              <w:t>Textile</w:t>
            </w:r>
            <w:proofErr w:type="spellEnd"/>
            <w:r w:rsidRPr="00C717DA">
              <w:rPr>
                <w:color w:val="000000"/>
              </w:rPr>
              <w:t xml:space="preserve">, </w:t>
            </w:r>
            <w:proofErr w:type="spellStart"/>
            <w:r w:rsidRPr="00C717DA">
              <w:rPr>
                <w:color w:val="000000"/>
              </w:rPr>
              <w:t>clothing</w:t>
            </w:r>
            <w:proofErr w:type="spellEnd"/>
            <w:r w:rsidRPr="00C717DA">
              <w:rPr>
                <w:color w:val="000000"/>
              </w:rPr>
              <w:t xml:space="preserve">, </w:t>
            </w:r>
            <w:proofErr w:type="spellStart"/>
            <w:r w:rsidRPr="00C717DA">
              <w:rPr>
                <w:color w:val="000000"/>
              </w:rPr>
              <w:t>leather</w:t>
            </w:r>
            <w:proofErr w:type="spellEnd"/>
            <w:r w:rsidRPr="00C717DA">
              <w:rPr>
                <w:color w:val="000000"/>
              </w:rPr>
              <w:t xml:space="preserve"> and </w:t>
            </w:r>
            <w:proofErr w:type="spellStart"/>
            <w:r w:rsidRPr="00C717DA">
              <w:rPr>
                <w:color w:val="000000"/>
              </w:rPr>
              <w:t>footwear</w:t>
            </w:r>
            <w:proofErr w:type="spellEnd"/>
            <w:r w:rsidRPr="00B35A97">
              <w:rPr>
                <w:color w:val="000000"/>
              </w:rPr>
              <w:t xml:space="preserve"> </w:t>
            </w:r>
          </w:p>
          <w:p w:rsidR="00C717DA" w:rsidRPr="00C717DA" w:rsidRDefault="00C717DA" w:rsidP="00C717DA">
            <w:pPr>
              <w:rPr>
                <w:color w:val="000000"/>
              </w:rPr>
            </w:pPr>
            <w:r w:rsidRPr="00C717DA">
              <w:rPr>
                <w:color w:val="000000"/>
              </w:rPr>
              <w:t>(NACE1993 17,18,19)</w:t>
            </w: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Mean</w:t>
            </w:r>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-0.0179</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-0.0094</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0.0618</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0.0629</w:t>
            </w:r>
          </w:p>
        </w:tc>
      </w:tr>
      <w:tr w:rsidR="00C717DA" w:rsidRPr="00C717DA" w:rsidTr="00C717DA">
        <w:trPr>
          <w:trHeight w:val="300"/>
        </w:trPr>
        <w:tc>
          <w:tcPr>
            <w:tcW w:w="2850" w:type="dxa"/>
            <w:vMerge/>
            <w:tcBorders>
              <w:top w:val="nil"/>
              <w:left w:val="nil"/>
              <w:bottom w:val="nil"/>
              <w:right w:val="nil"/>
            </w:tcBorders>
            <w:vAlign w:val="center"/>
            <w:hideMark/>
          </w:tcPr>
          <w:p w:rsidR="00C717DA" w:rsidRPr="00C717DA" w:rsidRDefault="00C717DA" w:rsidP="00C717DA">
            <w:pPr>
              <w:rPr>
                <w:color w:val="000000"/>
              </w:rPr>
            </w:pP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t</w:t>
            </w:r>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-3.72</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-1.88</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13.25</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13.83</w:t>
            </w:r>
          </w:p>
        </w:tc>
      </w:tr>
      <w:tr w:rsidR="00C717DA" w:rsidRPr="00C717DA" w:rsidTr="00C717DA">
        <w:trPr>
          <w:trHeight w:val="300"/>
        </w:trPr>
        <w:tc>
          <w:tcPr>
            <w:tcW w:w="2850" w:type="dxa"/>
            <w:vMerge/>
            <w:tcBorders>
              <w:top w:val="nil"/>
              <w:left w:val="nil"/>
              <w:bottom w:val="nil"/>
              <w:right w:val="nil"/>
            </w:tcBorders>
            <w:vAlign w:val="center"/>
            <w:hideMark/>
          </w:tcPr>
          <w:p w:rsidR="00C717DA" w:rsidRPr="00C717DA" w:rsidRDefault="00C717DA" w:rsidP="00C717DA">
            <w:pPr>
              <w:rPr>
                <w:color w:val="000000"/>
              </w:rPr>
            </w:pP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 xml:space="preserve">Domar </w:t>
            </w:r>
            <w:proofErr w:type="spellStart"/>
            <w:r w:rsidRPr="00C717DA">
              <w:rPr>
                <w:bCs/>
                <w:color w:val="000000"/>
              </w:rPr>
              <w:t>bias</w:t>
            </w:r>
            <w:proofErr w:type="spellEnd"/>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-1.2%</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-0.7%</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4.3%</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4.4%</w:t>
            </w:r>
          </w:p>
        </w:tc>
      </w:tr>
      <w:tr w:rsidR="00C717DA" w:rsidRPr="00C717DA" w:rsidTr="00C717DA">
        <w:trPr>
          <w:trHeight w:val="300"/>
        </w:trPr>
        <w:tc>
          <w:tcPr>
            <w:tcW w:w="2850" w:type="dxa"/>
            <w:vMerge w:val="restart"/>
            <w:tcBorders>
              <w:top w:val="nil"/>
              <w:left w:val="nil"/>
              <w:bottom w:val="nil"/>
              <w:right w:val="nil"/>
            </w:tcBorders>
            <w:shd w:val="clear" w:color="auto" w:fill="auto"/>
            <w:noWrap/>
            <w:vAlign w:val="bottom"/>
            <w:hideMark/>
          </w:tcPr>
          <w:p w:rsidR="00C717DA" w:rsidRPr="00C717DA" w:rsidRDefault="00C717DA" w:rsidP="00C717DA">
            <w:pPr>
              <w:rPr>
                <w:color w:val="000000"/>
              </w:rPr>
            </w:pPr>
            <w:r w:rsidRPr="00C717DA">
              <w:rPr>
                <w:color w:val="000000"/>
              </w:rPr>
              <w:t>3</w:t>
            </w:r>
            <w:r w:rsidRPr="00B35A97">
              <w:rPr>
                <w:color w:val="000000"/>
              </w:rPr>
              <w:t xml:space="preserve">  </w:t>
            </w:r>
            <w:r w:rsidRPr="00C717DA">
              <w:rPr>
                <w:color w:val="000000"/>
              </w:rPr>
              <w:t xml:space="preserve">Manufacture of </w:t>
            </w:r>
            <w:proofErr w:type="spellStart"/>
            <w:r w:rsidRPr="00C717DA">
              <w:rPr>
                <w:color w:val="000000"/>
              </w:rPr>
              <w:t>wood</w:t>
            </w:r>
            <w:proofErr w:type="spellEnd"/>
            <w:r w:rsidRPr="00C717DA">
              <w:rPr>
                <w:color w:val="000000"/>
              </w:rPr>
              <w:t xml:space="preserve"> and </w:t>
            </w:r>
            <w:proofErr w:type="spellStart"/>
            <w:r w:rsidRPr="00C717DA">
              <w:rPr>
                <w:color w:val="000000"/>
              </w:rPr>
              <w:t>cork</w:t>
            </w:r>
            <w:proofErr w:type="spellEnd"/>
            <w:r w:rsidRPr="00C717DA">
              <w:rPr>
                <w:color w:val="000000"/>
              </w:rPr>
              <w:t xml:space="preserve"> </w:t>
            </w:r>
            <w:proofErr w:type="spellStart"/>
            <w:r w:rsidRPr="00C717DA">
              <w:rPr>
                <w:color w:val="000000"/>
              </w:rPr>
              <w:t>products</w:t>
            </w:r>
            <w:proofErr w:type="spellEnd"/>
            <w:r w:rsidRPr="00C717DA">
              <w:rPr>
                <w:color w:val="000000"/>
              </w:rPr>
              <w:t xml:space="preserve"> (NACE1993 20)</w:t>
            </w: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Mean</w:t>
            </w:r>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-0.0501</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-0.0464</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0.0446</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0.0436</w:t>
            </w:r>
          </w:p>
        </w:tc>
      </w:tr>
      <w:tr w:rsidR="00C717DA" w:rsidRPr="00C717DA" w:rsidTr="00C717DA">
        <w:trPr>
          <w:trHeight w:val="300"/>
        </w:trPr>
        <w:tc>
          <w:tcPr>
            <w:tcW w:w="2850" w:type="dxa"/>
            <w:vMerge/>
            <w:tcBorders>
              <w:top w:val="nil"/>
              <w:left w:val="nil"/>
              <w:bottom w:val="nil"/>
              <w:right w:val="nil"/>
            </w:tcBorders>
            <w:vAlign w:val="center"/>
            <w:hideMark/>
          </w:tcPr>
          <w:p w:rsidR="00C717DA" w:rsidRPr="00C717DA" w:rsidRDefault="00C717DA" w:rsidP="00C717DA">
            <w:pPr>
              <w:rPr>
                <w:color w:val="000000"/>
              </w:rPr>
            </w:pP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t</w:t>
            </w:r>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-7.47</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-5.85</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4.38</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4.28</w:t>
            </w:r>
          </w:p>
        </w:tc>
      </w:tr>
      <w:tr w:rsidR="00C717DA" w:rsidRPr="00C717DA" w:rsidTr="00C717DA">
        <w:trPr>
          <w:trHeight w:val="300"/>
        </w:trPr>
        <w:tc>
          <w:tcPr>
            <w:tcW w:w="2850" w:type="dxa"/>
            <w:vMerge/>
            <w:tcBorders>
              <w:top w:val="nil"/>
              <w:left w:val="nil"/>
              <w:bottom w:val="nil"/>
              <w:right w:val="nil"/>
            </w:tcBorders>
            <w:vAlign w:val="center"/>
            <w:hideMark/>
          </w:tcPr>
          <w:p w:rsidR="00C717DA" w:rsidRPr="00C717DA" w:rsidRDefault="00C717DA" w:rsidP="00C717DA">
            <w:pPr>
              <w:rPr>
                <w:color w:val="000000"/>
              </w:rPr>
            </w:pP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 xml:space="preserve">Domar </w:t>
            </w:r>
            <w:proofErr w:type="spellStart"/>
            <w:r w:rsidRPr="00C717DA">
              <w:rPr>
                <w:bCs/>
                <w:color w:val="000000"/>
              </w:rPr>
              <w:t>bias</w:t>
            </w:r>
            <w:proofErr w:type="spellEnd"/>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-3.5%</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-3.2%</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3.1%</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3.0%</w:t>
            </w:r>
          </w:p>
        </w:tc>
      </w:tr>
      <w:tr w:rsidR="00C717DA" w:rsidRPr="00C717DA" w:rsidTr="00C717DA">
        <w:trPr>
          <w:trHeight w:val="300"/>
        </w:trPr>
        <w:tc>
          <w:tcPr>
            <w:tcW w:w="2850" w:type="dxa"/>
            <w:vMerge w:val="restart"/>
            <w:tcBorders>
              <w:top w:val="nil"/>
              <w:left w:val="nil"/>
              <w:bottom w:val="nil"/>
              <w:right w:val="nil"/>
            </w:tcBorders>
            <w:shd w:val="clear" w:color="auto" w:fill="auto"/>
            <w:noWrap/>
            <w:vAlign w:val="bottom"/>
            <w:hideMark/>
          </w:tcPr>
          <w:p w:rsidR="00C717DA" w:rsidRPr="00C717DA" w:rsidRDefault="00C717DA" w:rsidP="00C717DA">
            <w:pPr>
              <w:rPr>
                <w:color w:val="000000"/>
              </w:rPr>
            </w:pPr>
            <w:r w:rsidRPr="00C717DA">
              <w:rPr>
                <w:color w:val="000000"/>
              </w:rPr>
              <w:t>4</w:t>
            </w:r>
            <w:r w:rsidRPr="00B35A97">
              <w:rPr>
                <w:color w:val="000000"/>
              </w:rPr>
              <w:t xml:space="preserve">  </w:t>
            </w:r>
            <w:proofErr w:type="spellStart"/>
            <w:r w:rsidRPr="00C717DA">
              <w:rPr>
                <w:color w:val="000000"/>
              </w:rPr>
              <w:t>Paper</w:t>
            </w:r>
            <w:proofErr w:type="spellEnd"/>
            <w:r w:rsidRPr="00C717DA">
              <w:rPr>
                <w:color w:val="000000"/>
              </w:rPr>
              <w:t xml:space="preserve">, </w:t>
            </w:r>
            <w:proofErr w:type="spellStart"/>
            <w:r w:rsidRPr="00C717DA">
              <w:rPr>
                <w:color w:val="000000"/>
              </w:rPr>
              <w:t>publishing</w:t>
            </w:r>
            <w:proofErr w:type="spellEnd"/>
            <w:r w:rsidRPr="00C717DA">
              <w:rPr>
                <w:color w:val="000000"/>
              </w:rPr>
              <w:t xml:space="preserve">, </w:t>
            </w:r>
            <w:proofErr w:type="spellStart"/>
            <w:r w:rsidRPr="00C717DA">
              <w:rPr>
                <w:color w:val="000000"/>
              </w:rPr>
              <w:t>graphic</w:t>
            </w:r>
            <w:proofErr w:type="spellEnd"/>
            <w:r w:rsidRPr="00C717DA">
              <w:rPr>
                <w:color w:val="000000"/>
              </w:rPr>
              <w:t xml:space="preserve"> </w:t>
            </w:r>
            <w:proofErr w:type="spellStart"/>
            <w:r w:rsidRPr="00C717DA">
              <w:rPr>
                <w:color w:val="000000"/>
              </w:rPr>
              <w:t>arts</w:t>
            </w:r>
            <w:proofErr w:type="spellEnd"/>
            <w:r w:rsidRPr="00B35A97">
              <w:rPr>
                <w:color w:val="000000"/>
              </w:rPr>
              <w:t>,</w:t>
            </w:r>
            <w:r w:rsidRPr="00C717DA">
              <w:rPr>
                <w:color w:val="000000"/>
              </w:rPr>
              <w:t xml:space="preserve"> and </w:t>
            </w:r>
            <w:proofErr w:type="spellStart"/>
            <w:r w:rsidRPr="00C717DA">
              <w:rPr>
                <w:color w:val="000000"/>
              </w:rPr>
              <w:t>recorded</w:t>
            </w:r>
            <w:proofErr w:type="spellEnd"/>
            <w:r w:rsidRPr="00C717DA">
              <w:rPr>
                <w:color w:val="000000"/>
              </w:rPr>
              <w:t xml:space="preserve"> media (NACE1993 21,22)</w:t>
            </w: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Mean</w:t>
            </w:r>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-0.0480</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-0.0444</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0.0803</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0.0756</w:t>
            </w:r>
          </w:p>
        </w:tc>
      </w:tr>
      <w:tr w:rsidR="00C717DA" w:rsidRPr="00C717DA" w:rsidTr="00C717DA">
        <w:trPr>
          <w:trHeight w:val="300"/>
        </w:trPr>
        <w:tc>
          <w:tcPr>
            <w:tcW w:w="2850" w:type="dxa"/>
            <w:vMerge/>
            <w:tcBorders>
              <w:top w:val="nil"/>
              <w:left w:val="nil"/>
              <w:bottom w:val="nil"/>
              <w:right w:val="nil"/>
            </w:tcBorders>
            <w:vAlign w:val="center"/>
            <w:hideMark/>
          </w:tcPr>
          <w:p w:rsidR="00C717DA" w:rsidRPr="00C717DA" w:rsidRDefault="00C717DA" w:rsidP="00C717DA">
            <w:pPr>
              <w:rPr>
                <w:color w:val="000000"/>
              </w:rPr>
            </w:pP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t</w:t>
            </w:r>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-6.28</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-5.59</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8.73</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9.38</w:t>
            </w:r>
          </w:p>
        </w:tc>
      </w:tr>
      <w:tr w:rsidR="00C717DA" w:rsidRPr="00C717DA" w:rsidTr="00C717DA">
        <w:trPr>
          <w:trHeight w:val="300"/>
        </w:trPr>
        <w:tc>
          <w:tcPr>
            <w:tcW w:w="2850" w:type="dxa"/>
            <w:vMerge/>
            <w:tcBorders>
              <w:top w:val="nil"/>
              <w:left w:val="nil"/>
              <w:bottom w:val="nil"/>
              <w:right w:val="nil"/>
            </w:tcBorders>
            <w:vAlign w:val="center"/>
            <w:hideMark/>
          </w:tcPr>
          <w:p w:rsidR="00C717DA" w:rsidRPr="00C717DA" w:rsidRDefault="00C717DA" w:rsidP="00C717DA">
            <w:pPr>
              <w:rPr>
                <w:color w:val="000000"/>
              </w:rPr>
            </w:pP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 xml:space="preserve">Domar </w:t>
            </w:r>
            <w:proofErr w:type="spellStart"/>
            <w:r w:rsidRPr="00C717DA">
              <w:rPr>
                <w:bCs/>
                <w:color w:val="000000"/>
              </w:rPr>
              <w:t>bias</w:t>
            </w:r>
            <w:proofErr w:type="spellEnd"/>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-3.3%</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-3.1%</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5.6%</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5.2%</w:t>
            </w:r>
          </w:p>
        </w:tc>
      </w:tr>
      <w:tr w:rsidR="00C717DA" w:rsidRPr="00C717DA" w:rsidTr="00C717DA">
        <w:trPr>
          <w:trHeight w:val="300"/>
        </w:trPr>
        <w:tc>
          <w:tcPr>
            <w:tcW w:w="2850" w:type="dxa"/>
            <w:vMerge w:val="restart"/>
            <w:tcBorders>
              <w:top w:val="nil"/>
              <w:left w:val="nil"/>
              <w:bottom w:val="nil"/>
              <w:right w:val="nil"/>
            </w:tcBorders>
            <w:shd w:val="clear" w:color="auto" w:fill="auto"/>
            <w:noWrap/>
            <w:vAlign w:val="bottom"/>
            <w:hideMark/>
          </w:tcPr>
          <w:p w:rsidR="00C717DA" w:rsidRPr="00B35A97" w:rsidRDefault="00C717DA" w:rsidP="00C717DA">
            <w:pPr>
              <w:rPr>
                <w:color w:val="000000"/>
              </w:rPr>
            </w:pPr>
            <w:r w:rsidRPr="00C717DA">
              <w:rPr>
                <w:color w:val="000000"/>
              </w:rPr>
              <w:t>5</w:t>
            </w:r>
            <w:r w:rsidRPr="00B35A97">
              <w:rPr>
                <w:color w:val="000000"/>
              </w:rPr>
              <w:t xml:space="preserve">  </w:t>
            </w:r>
            <w:proofErr w:type="spellStart"/>
            <w:r w:rsidRPr="00C717DA">
              <w:rPr>
                <w:color w:val="000000"/>
              </w:rPr>
              <w:t>Chemical</w:t>
            </w:r>
            <w:proofErr w:type="spellEnd"/>
            <w:r w:rsidRPr="00C717DA">
              <w:rPr>
                <w:color w:val="000000"/>
              </w:rPr>
              <w:t xml:space="preserve"> </w:t>
            </w:r>
            <w:proofErr w:type="spellStart"/>
            <w:r w:rsidRPr="00C717DA">
              <w:rPr>
                <w:color w:val="000000"/>
              </w:rPr>
              <w:t>industry</w:t>
            </w:r>
            <w:proofErr w:type="spellEnd"/>
            <w:r w:rsidRPr="00C717DA">
              <w:rPr>
                <w:color w:val="000000"/>
              </w:rPr>
              <w:t xml:space="preserve"> </w:t>
            </w:r>
          </w:p>
          <w:p w:rsidR="00C717DA" w:rsidRPr="00B35A97" w:rsidRDefault="00C717DA" w:rsidP="00C717DA">
            <w:pPr>
              <w:rPr>
                <w:color w:val="000000"/>
              </w:rPr>
            </w:pPr>
          </w:p>
          <w:p w:rsidR="00C717DA" w:rsidRPr="00C717DA" w:rsidRDefault="00C717DA" w:rsidP="00C717DA">
            <w:pPr>
              <w:rPr>
                <w:color w:val="000000"/>
              </w:rPr>
            </w:pPr>
            <w:r w:rsidRPr="00C717DA">
              <w:rPr>
                <w:color w:val="000000"/>
              </w:rPr>
              <w:t>(NACE1993 24)</w:t>
            </w: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Mean</w:t>
            </w:r>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-0.0239</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-0.0178</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-0.0043</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0.0007</w:t>
            </w:r>
          </w:p>
        </w:tc>
      </w:tr>
      <w:tr w:rsidR="00C717DA" w:rsidRPr="00C717DA" w:rsidTr="00C717DA">
        <w:trPr>
          <w:trHeight w:val="300"/>
        </w:trPr>
        <w:tc>
          <w:tcPr>
            <w:tcW w:w="2850" w:type="dxa"/>
            <w:vMerge/>
            <w:tcBorders>
              <w:top w:val="nil"/>
              <w:left w:val="nil"/>
              <w:bottom w:val="nil"/>
              <w:right w:val="nil"/>
            </w:tcBorders>
            <w:vAlign w:val="center"/>
            <w:hideMark/>
          </w:tcPr>
          <w:p w:rsidR="00C717DA" w:rsidRPr="00C717DA" w:rsidRDefault="00C717DA" w:rsidP="00C717DA">
            <w:pPr>
              <w:rPr>
                <w:color w:val="000000"/>
              </w:rPr>
            </w:pP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t</w:t>
            </w:r>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-3.38</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-2.28</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-0.36</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0.06</w:t>
            </w:r>
          </w:p>
        </w:tc>
      </w:tr>
      <w:tr w:rsidR="00C717DA" w:rsidRPr="00C717DA" w:rsidTr="00C717DA">
        <w:trPr>
          <w:trHeight w:val="300"/>
        </w:trPr>
        <w:tc>
          <w:tcPr>
            <w:tcW w:w="2850" w:type="dxa"/>
            <w:vMerge/>
            <w:tcBorders>
              <w:top w:val="nil"/>
              <w:left w:val="nil"/>
              <w:bottom w:val="nil"/>
              <w:right w:val="nil"/>
            </w:tcBorders>
            <w:vAlign w:val="center"/>
            <w:hideMark/>
          </w:tcPr>
          <w:p w:rsidR="00C717DA" w:rsidRPr="00C717DA" w:rsidRDefault="00C717DA" w:rsidP="00C717DA">
            <w:pPr>
              <w:rPr>
                <w:color w:val="000000"/>
              </w:rPr>
            </w:pP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 xml:space="preserve">Domar </w:t>
            </w:r>
            <w:proofErr w:type="spellStart"/>
            <w:r w:rsidRPr="00C717DA">
              <w:rPr>
                <w:bCs/>
                <w:color w:val="000000"/>
              </w:rPr>
              <w:t>bias</w:t>
            </w:r>
            <w:proofErr w:type="spellEnd"/>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-1.7%</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-1.2%</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-0.3%</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0.1%</w:t>
            </w:r>
          </w:p>
        </w:tc>
      </w:tr>
      <w:tr w:rsidR="00C717DA" w:rsidRPr="00C717DA" w:rsidTr="00C717DA">
        <w:trPr>
          <w:trHeight w:val="300"/>
        </w:trPr>
        <w:tc>
          <w:tcPr>
            <w:tcW w:w="2850" w:type="dxa"/>
            <w:vMerge w:val="restart"/>
            <w:tcBorders>
              <w:top w:val="nil"/>
              <w:left w:val="nil"/>
              <w:bottom w:val="nil"/>
              <w:right w:val="nil"/>
            </w:tcBorders>
            <w:shd w:val="clear" w:color="auto" w:fill="auto"/>
            <w:noWrap/>
            <w:vAlign w:val="bottom"/>
            <w:hideMark/>
          </w:tcPr>
          <w:p w:rsidR="004543AF" w:rsidRPr="00B35A97" w:rsidRDefault="00C717DA" w:rsidP="00C717DA">
            <w:pPr>
              <w:rPr>
                <w:color w:val="000000"/>
              </w:rPr>
            </w:pPr>
            <w:r w:rsidRPr="00C717DA">
              <w:rPr>
                <w:color w:val="000000"/>
              </w:rPr>
              <w:t>6</w:t>
            </w:r>
            <w:r w:rsidRPr="00B35A97">
              <w:rPr>
                <w:color w:val="000000"/>
              </w:rPr>
              <w:t xml:space="preserve">  </w:t>
            </w:r>
            <w:proofErr w:type="spellStart"/>
            <w:r w:rsidRPr="00C717DA">
              <w:rPr>
                <w:color w:val="000000"/>
              </w:rPr>
              <w:t>Rubber</w:t>
            </w:r>
            <w:proofErr w:type="spellEnd"/>
            <w:r w:rsidRPr="00C717DA">
              <w:rPr>
                <w:color w:val="000000"/>
              </w:rPr>
              <w:t xml:space="preserve"> and </w:t>
            </w:r>
            <w:proofErr w:type="spellStart"/>
            <w:r w:rsidRPr="00C717DA">
              <w:rPr>
                <w:color w:val="000000"/>
              </w:rPr>
              <w:t>plastics</w:t>
            </w:r>
            <w:proofErr w:type="spellEnd"/>
          </w:p>
          <w:p w:rsidR="004543AF" w:rsidRPr="00B35A97" w:rsidRDefault="004543AF" w:rsidP="00C717DA">
            <w:pPr>
              <w:rPr>
                <w:color w:val="000000"/>
              </w:rPr>
            </w:pPr>
          </w:p>
          <w:p w:rsidR="00C717DA" w:rsidRPr="00C717DA" w:rsidRDefault="00C717DA" w:rsidP="00C717DA">
            <w:pPr>
              <w:rPr>
                <w:color w:val="000000"/>
              </w:rPr>
            </w:pPr>
            <w:r w:rsidRPr="00C717DA">
              <w:rPr>
                <w:color w:val="000000"/>
              </w:rPr>
              <w:t xml:space="preserve"> (NACE1993 25)</w:t>
            </w: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Mean</w:t>
            </w:r>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-0.0605</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-0.0499</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-0.0442</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-0.0303</w:t>
            </w:r>
          </w:p>
        </w:tc>
      </w:tr>
      <w:tr w:rsidR="00C717DA" w:rsidRPr="00C717DA" w:rsidTr="00C717DA">
        <w:trPr>
          <w:trHeight w:val="300"/>
        </w:trPr>
        <w:tc>
          <w:tcPr>
            <w:tcW w:w="2850" w:type="dxa"/>
            <w:vMerge/>
            <w:tcBorders>
              <w:top w:val="nil"/>
              <w:left w:val="nil"/>
              <w:bottom w:val="nil"/>
              <w:right w:val="nil"/>
            </w:tcBorders>
            <w:vAlign w:val="center"/>
            <w:hideMark/>
          </w:tcPr>
          <w:p w:rsidR="00C717DA" w:rsidRPr="00C717DA" w:rsidRDefault="00C717DA" w:rsidP="00C717DA">
            <w:pPr>
              <w:rPr>
                <w:color w:val="000000"/>
              </w:rPr>
            </w:pP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t</w:t>
            </w:r>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-10.92</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-9.13</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-8.31</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-6.37</w:t>
            </w:r>
          </w:p>
        </w:tc>
      </w:tr>
      <w:tr w:rsidR="00C717DA" w:rsidRPr="00C717DA" w:rsidTr="00C717DA">
        <w:trPr>
          <w:trHeight w:val="300"/>
        </w:trPr>
        <w:tc>
          <w:tcPr>
            <w:tcW w:w="2850" w:type="dxa"/>
            <w:vMerge/>
            <w:tcBorders>
              <w:top w:val="nil"/>
              <w:left w:val="nil"/>
              <w:bottom w:val="nil"/>
              <w:right w:val="nil"/>
            </w:tcBorders>
            <w:vAlign w:val="center"/>
            <w:hideMark/>
          </w:tcPr>
          <w:p w:rsidR="00C717DA" w:rsidRPr="00C717DA" w:rsidRDefault="00C717DA" w:rsidP="00C717DA">
            <w:pPr>
              <w:rPr>
                <w:color w:val="000000"/>
              </w:rPr>
            </w:pP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 xml:space="preserve">Domar </w:t>
            </w:r>
            <w:proofErr w:type="spellStart"/>
            <w:r w:rsidRPr="00C717DA">
              <w:rPr>
                <w:bCs/>
                <w:color w:val="000000"/>
              </w:rPr>
              <w:t>bias</w:t>
            </w:r>
            <w:proofErr w:type="spellEnd"/>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-4.2%</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-3.5%</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-3.1%</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-2.1%</w:t>
            </w:r>
          </w:p>
        </w:tc>
      </w:tr>
      <w:tr w:rsidR="00C717DA" w:rsidRPr="00C717DA" w:rsidTr="00C717DA">
        <w:trPr>
          <w:trHeight w:val="300"/>
        </w:trPr>
        <w:tc>
          <w:tcPr>
            <w:tcW w:w="2850" w:type="dxa"/>
            <w:vMerge w:val="restart"/>
            <w:tcBorders>
              <w:top w:val="nil"/>
              <w:left w:val="nil"/>
              <w:bottom w:val="nil"/>
              <w:right w:val="nil"/>
            </w:tcBorders>
            <w:shd w:val="clear" w:color="auto" w:fill="auto"/>
            <w:noWrap/>
            <w:vAlign w:val="bottom"/>
            <w:hideMark/>
          </w:tcPr>
          <w:p w:rsidR="00C717DA" w:rsidRPr="00C717DA" w:rsidRDefault="00C717DA" w:rsidP="00C717DA">
            <w:pPr>
              <w:rPr>
                <w:color w:val="000000"/>
              </w:rPr>
            </w:pPr>
            <w:r w:rsidRPr="00C717DA">
              <w:rPr>
                <w:color w:val="000000"/>
              </w:rPr>
              <w:t>7</w:t>
            </w:r>
            <w:r w:rsidRPr="00B35A97">
              <w:rPr>
                <w:color w:val="000000"/>
              </w:rPr>
              <w:t xml:space="preserve">  </w:t>
            </w:r>
            <w:proofErr w:type="spellStart"/>
            <w:r w:rsidRPr="00C717DA">
              <w:rPr>
                <w:color w:val="000000"/>
              </w:rPr>
              <w:t>Miscellaneous</w:t>
            </w:r>
            <w:proofErr w:type="spellEnd"/>
            <w:r w:rsidRPr="00C717DA">
              <w:rPr>
                <w:color w:val="000000"/>
              </w:rPr>
              <w:t xml:space="preserve"> non-</w:t>
            </w:r>
            <w:proofErr w:type="spellStart"/>
            <w:r w:rsidRPr="00C717DA">
              <w:rPr>
                <w:color w:val="000000"/>
              </w:rPr>
              <w:t>metallic</w:t>
            </w:r>
            <w:proofErr w:type="spellEnd"/>
            <w:r w:rsidRPr="00C717DA">
              <w:rPr>
                <w:color w:val="000000"/>
              </w:rPr>
              <w:t xml:space="preserve"> mineral </w:t>
            </w:r>
            <w:proofErr w:type="spellStart"/>
            <w:r w:rsidRPr="00C717DA">
              <w:rPr>
                <w:color w:val="000000"/>
              </w:rPr>
              <w:t>products</w:t>
            </w:r>
            <w:proofErr w:type="spellEnd"/>
            <w:r w:rsidRPr="00C717DA">
              <w:rPr>
                <w:color w:val="000000"/>
              </w:rPr>
              <w:t xml:space="preserve"> (NACE1993 26)</w:t>
            </w: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Mean</w:t>
            </w:r>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-0.0156</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-0.0090</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0.0409</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0.0422</w:t>
            </w:r>
          </w:p>
        </w:tc>
      </w:tr>
      <w:tr w:rsidR="00C717DA" w:rsidRPr="00C717DA" w:rsidTr="00C717DA">
        <w:trPr>
          <w:trHeight w:val="300"/>
        </w:trPr>
        <w:tc>
          <w:tcPr>
            <w:tcW w:w="2850" w:type="dxa"/>
            <w:vMerge/>
            <w:tcBorders>
              <w:top w:val="nil"/>
              <w:left w:val="nil"/>
              <w:bottom w:val="nil"/>
              <w:right w:val="nil"/>
            </w:tcBorders>
            <w:vAlign w:val="center"/>
            <w:hideMark/>
          </w:tcPr>
          <w:p w:rsidR="00C717DA" w:rsidRPr="00C717DA" w:rsidRDefault="00C717DA" w:rsidP="00C717DA">
            <w:pPr>
              <w:rPr>
                <w:color w:val="000000"/>
              </w:rPr>
            </w:pP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t</w:t>
            </w:r>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-3.84</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-2.31</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6.91</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7.70</w:t>
            </w:r>
          </w:p>
        </w:tc>
      </w:tr>
      <w:tr w:rsidR="00C717DA" w:rsidRPr="00C717DA" w:rsidTr="00C717DA">
        <w:trPr>
          <w:trHeight w:val="300"/>
        </w:trPr>
        <w:tc>
          <w:tcPr>
            <w:tcW w:w="2850" w:type="dxa"/>
            <w:vMerge/>
            <w:tcBorders>
              <w:top w:val="nil"/>
              <w:left w:val="nil"/>
              <w:bottom w:val="nil"/>
              <w:right w:val="nil"/>
            </w:tcBorders>
            <w:vAlign w:val="center"/>
            <w:hideMark/>
          </w:tcPr>
          <w:p w:rsidR="00C717DA" w:rsidRPr="00C717DA" w:rsidRDefault="00C717DA" w:rsidP="00C717DA">
            <w:pPr>
              <w:rPr>
                <w:color w:val="000000"/>
              </w:rPr>
            </w:pP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 xml:space="preserve">Domar </w:t>
            </w:r>
            <w:proofErr w:type="spellStart"/>
            <w:r w:rsidRPr="00C717DA">
              <w:rPr>
                <w:bCs/>
                <w:color w:val="000000"/>
              </w:rPr>
              <w:t>bias</w:t>
            </w:r>
            <w:proofErr w:type="spellEnd"/>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-1.1%</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-0.6%</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2.8%</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2.9%</w:t>
            </w:r>
          </w:p>
        </w:tc>
      </w:tr>
      <w:tr w:rsidR="00C717DA" w:rsidRPr="00C717DA" w:rsidTr="00C717DA">
        <w:trPr>
          <w:trHeight w:val="300"/>
        </w:trPr>
        <w:tc>
          <w:tcPr>
            <w:tcW w:w="2850" w:type="dxa"/>
            <w:vMerge w:val="restart"/>
            <w:tcBorders>
              <w:top w:val="nil"/>
              <w:left w:val="nil"/>
              <w:bottom w:val="nil"/>
              <w:right w:val="nil"/>
            </w:tcBorders>
            <w:shd w:val="clear" w:color="auto" w:fill="auto"/>
            <w:noWrap/>
            <w:vAlign w:val="bottom"/>
            <w:hideMark/>
          </w:tcPr>
          <w:p w:rsidR="004543AF" w:rsidRPr="00B35A97" w:rsidRDefault="00C717DA" w:rsidP="004543AF">
            <w:pPr>
              <w:rPr>
                <w:color w:val="000000"/>
              </w:rPr>
            </w:pPr>
            <w:r w:rsidRPr="00C717DA">
              <w:rPr>
                <w:color w:val="000000"/>
              </w:rPr>
              <w:t>8</w:t>
            </w:r>
            <w:r w:rsidRPr="00B35A97">
              <w:rPr>
                <w:color w:val="000000"/>
              </w:rPr>
              <w:t xml:space="preserve">  </w:t>
            </w:r>
            <w:proofErr w:type="spellStart"/>
            <w:r w:rsidRPr="00C717DA">
              <w:rPr>
                <w:color w:val="000000"/>
              </w:rPr>
              <w:t>Metallurgy</w:t>
            </w:r>
            <w:proofErr w:type="spellEnd"/>
            <w:r w:rsidRPr="00C717DA">
              <w:rPr>
                <w:color w:val="000000"/>
              </w:rPr>
              <w:t xml:space="preserve"> and </w:t>
            </w:r>
            <w:r w:rsidR="004543AF" w:rsidRPr="00B35A97">
              <w:rPr>
                <w:color w:val="000000"/>
              </w:rPr>
              <w:t xml:space="preserve">metal </w:t>
            </w:r>
            <w:r w:rsidRPr="00C717DA">
              <w:rPr>
                <w:color w:val="000000"/>
              </w:rPr>
              <w:t xml:space="preserve">manufacture </w:t>
            </w:r>
          </w:p>
          <w:p w:rsidR="00C717DA" w:rsidRPr="00C717DA" w:rsidRDefault="00C717DA" w:rsidP="004543AF">
            <w:pPr>
              <w:rPr>
                <w:color w:val="000000"/>
              </w:rPr>
            </w:pPr>
            <w:r w:rsidRPr="00C717DA">
              <w:rPr>
                <w:color w:val="000000"/>
              </w:rPr>
              <w:t>(NACE1993 27,28)</w:t>
            </w: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Mean</w:t>
            </w:r>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0.0288</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0.0198</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0.0557</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0.0429</w:t>
            </w:r>
          </w:p>
        </w:tc>
      </w:tr>
      <w:tr w:rsidR="00C717DA" w:rsidRPr="00C717DA" w:rsidTr="00C717DA">
        <w:trPr>
          <w:trHeight w:val="300"/>
        </w:trPr>
        <w:tc>
          <w:tcPr>
            <w:tcW w:w="2850" w:type="dxa"/>
            <w:vMerge/>
            <w:tcBorders>
              <w:top w:val="nil"/>
              <w:left w:val="nil"/>
              <w:bottom w:val="nil"/>
              <w:right w:val="nil"/>
            </w:tcBorders>
            <w:vAlign w:val="center"/>
            <w:hideMark/>
          </w:tcPr>
          <w:p w:rsidR="00C717DA" w:rsidRPr="00C717DA" w:rsidRDefault="00C717DA" w:rsidP="00C717DA">
            <w:pPr>
              <w:rPr>
                <w:color w:val="000000"/>
              </w:rPr>
            </w:pP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t</w:t>
            </w:r>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3.05</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2.20</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10.20</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8.60</w:t>
            </w:r>
          </w:p>
        </w:tc>
      </w:tr>
      <w:tr w:rsidR="00C717DA" w:rsidRPr="00C717DA" w:rsidTr="00C717DA">
        <w:trPr>
          <w:trHeight w:val="300"/>
        </w:trPr>
        <w:tc>
          <w:tcPr>
            <w:tcW w:w="2850" w:type="dxa"/>
            <w:vMerge/>
            <w:tcBorders>
              <w:top w:val="nil"/>
              <w:left w:val="nil"/>
              <w:bottom w:val="nil"/>
              <w:right w:val="nil"/>
            </w:tcBorders>
            <w:vAlign w:val="center"/>
            <w:hideMark/>
          </w:tcPr>
          <w:p w:rsidR="00C717DA" w:rsidRPr="00C717DA" w:rsidRDefault="00C717DA" w:rsidP="00C717DA">
            <w:pPr>
              <w:rPr>
                <w:color w:val="000000"/>
              </w:rPr>
            </w:pP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 xml:space="preserve">Domar </w:t>
            </w:r>
            <w:proofErr w:type="spellStart"/>
            <w:r w:rsidRPr="00C717DA">
              <w:rPr>
                <w:bCs/>
                <w:color w:val="000000"/>
              </w:rPr>
              <w:t>bias</w:t>
            </w:r>
            <w:proofErr w:type="spellEnd"/>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2.0%</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1.4%</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3.9%</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3.0%</w:t>
            </w:r>
          </w:p>
        </w:tc>
      </w:tr>
      <w:tr w:rsidR="00C717DA" w:rsidRPr="00C717DA" w:rsidTr="00C717DA">
        <w:trPr>
          <w:trHeight w:val="300"/>
        </w:trPr>
        <w:tc>
          <w:tcPr>
            <w:tcW w:w="2850" w:type="dxa"/>
            <w:vMerge w:val="restart"/>
            <w:tcBorders>
              <w:top w:val="nil"/>
              <w:left w:val="nil"/>
              <w:bottom w:val="nil"/>
              <w:right w:val="nil"/>
            </w:tcBorders>
            <w:shd w:val="clear" w:color="auto" w:fill="auto"/>
            <w:noWrap/>
            <w:vAlign w:val="bottom"/>
            <w:hideMark/>
          </w:tcPr>
          <w:p w:rsidR="004543AF" w:rsidRPr="00B35A97" w:rsidRDefault="00C717DA" w:rsidP="00C717DA">
            <w:pPr>
              <w:rPr>
                <w:color w:val="000000"/>
              </w:rPr>
            </w:pPr>
            <w:r w:rsidRPr="00C717DA">
              <w:rPr>
                <w:color w:val="000000"/>
              </w:rPr>
              <w:t>9</w:t>
            </w:r>
            <w:r w:rsidRPr="00B35A97">
              <w:rPr>
                <w:color w:val="000000"/>
              </w:rPr>
              <w:t xml:space="preserve">  </w:t>
            </w:r>
            <w:proofErr w:type="spellStart"/>
            <w:r w:rsidRPr="00C717DA">
              <w:rPr>
                <w:color w:val="000000"/>
              </w:rPr>
              <w:t>Mechanical</w:t>
            </w:r>
            <w:proofErr w:type="spellEnd"/>
            <w:r w:rsidRPr="00C717DA">
              <w:rPr>
                <w:color w:val="000000"/>
              </w:rPr>
              <w:t xml:space="preserve"> </w:t>
            </w:r>
            <w:proofErr w:type="spellStart"/>
            <w:r w:rsidRPr="00C717DA">
              <w:rPr>
                <w:color w:val="000000"/>
              </w:rPr>
              <w:t>machinery</w:t>
            </w:r>
            <w:proofErr w:type="spellEnd"/>
            <w:r w:rsidRPr="00C717DA">
              <w:rPr>
                <w:color w:val="000000"/>
              </w:rPr>
              <w:t xml:space="preserve"> and </w:t>
            </w:r>
            <w:proofErr w:type="spellStart"/>
            <w:r w:rsidRPr="00C717DA">
              <w:rPr>
                <w:color w:val="000000"/>
              </w:rPr>
              <w:t>equipment</w:t>
            </w:r>
            <w:proofErr w:type="spellEnd"/>
            <w:r w:rsidRPr="00C717DA">
              <w:rPr>
                <w:color w:val="000000"/>
              </w:rPr>
              <w:t xml:space="preserve"> </w:t>
            </w:r>
          </w:p>
          <w:p w:rsidR="00C717DA" w:rsidRPr="00C717DA" w:rsidRDefault="00C717DA" w:rsidP="00C717DA">
            <w:pPr>
              <w:rPr>
                <w:color w:val="000000"/>
              </w:rPr>
            </w:pPr>
            <w:r w:rsidRPr="00C717DA">
              <w:rPr>
                <w:color w:val="000000"/>
              </w:rPr>
              <w:t>(NACE1993 29)</w:t>
            </w: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Mean</w:t>
            </w:r>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-0.0424</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-0.0442</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0.0694</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0.0621</w:t>
            </w:r>
          </w:p>
        </w:tc>
      </w:tr>
      <w:tr w:rsidR="00C717DA" w:rsidRPr="00C717DA" w:rsidTr="00C717DA">
        <w:trPr>
          <w:trHeight w:val="300"/>
        </w:trPr>
        <w:tc>
          <w:tcPr>
            <w:tcW w:w="2850" w:type="dxa"/>
            <w:vMerge/>
            <w:tcBorders>
              <w:top w:val="nil"/>
              <w:left w:val="nil"/>
              <w:bottom w:val="nil"/>
              <w:right w:val="nil"/>
            </w:tcBorders>
            <w:vAlign w:val="center"/>
            <w:hideMark/>
          </w:tcPr>
          <w:p w:rsidR="00C717DA" w:rsidRPr="00C717DA" w:rsidRDefault="00C717DA" w:rsidP="00C717DA">
            <w:pPr>
              <w:rPr>
                <w:color w:val="000000"/>
              </w:rPr>
            </w:pP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t</w:t>
            </w:r>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-4.56</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-4.52</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9.71</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8.88</w:t>
            </w:r>
          </w:p>
        </w:tc>
      </w:tr>
      <w:tr w:rsidR="00C717DA" w:rsidRPr="00C717DA" w:rsidTr="00C717DA">
        <w:trPr>
          <w:trHeight w:val="300"/>
        </w:trPr>
        <w:tc>
          <w:tcPr>
            <w:tcW w:w="2850" w:type="dxa"/>
            <w:vMerge/>
            <w:tcBorders>
              <w:top w:val="nil"/>
              <w:left w:val="nil"/>
              <w:bottom w:val="nil"/>
              <w:right w:val="nil"/>
            </w:tcBorders>
            <w:vAlign w:val="center"/>
            <w:hideMark/>
          </w:tcPr>
          <w:p w:rsidR="00C717DA" w:rsidRPr="00C717DA" w:rsidRDefault="00C717DA" w:rsidP="00C717DA">
            <w:pPr>
              <w:rPr>
                <w:color w:val="000000"/>
              </w:rPr>
            </w:pP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 xml:space="preserve">Domar </w:t>
            </w:r>
            <w:proofErr w:type="spellStart"/>
            <w:r w:rsidRPr="00C717DA">
              <w:rPr>
                <w:bCs/>
                <w:color w:val="000000"/>
              </w:rPr>
              <w:t>bias</w:t>
            </w:r>
            <w:proofErr w:type="spellEnd"/>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-2.9%</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-3.1%</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4.8%</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4.3%</w:t>
            </w:r>
          </w:p>
        </w:tc>
      </w:tr>
      <w:tr w:rsidR="00C717DA" w:rsidRPr="00C717DA" w:rsidTr="00C717DA">
        <w:trPr>
          <w:trHeight w:val="300"/>
        </w:trPr>
        <w:tc>
          <w:tcPr>
            <w:tcW w:w="2850" w:type="dxa"/>
            <w:vMerge w:val="restart"/>
            <w:tcBorders>
              <w:top w:val="nil"/>
              <w:left w:val="nil"/>
              <w:bottom w:val="nil"/>
              <w:right w:val="nil"/>
            </w:tcBorders>
            <w:shd w:val="clear" w:color="auto" w:fill="auto"/>
            <w:noWrap/>
            <w:vAlign w:val="bottom"/>
            <w:hideMark/>
          </w:tcPr>
          <w:p w:rsidR="00C717DA" w:rsidRPr="00C717DA" w:rsidRDefault="00C717DA" w:rsidP="004543AF">
            <w:pPr>
              <w:rPr>
                <w:color w:val="000000"/>
              </w:rPr>
            </w:pPr>
            <w:r w:rsidRPr="00C717DA">
              <w:rPr>
                <w:color w:val="000000"/>
              </w:rPr>
              <w:t>10</w:t>
            </w:r>
            <w:r w:rsidRPr="00B35A97">
              <w:rPr>
                <w:color w:val="000000"/>
              </w:rPr>
              <w:t xml:space="preserve">  </w:t>
            </w:r>
            <w:proofErr w:type="spellStart"/>
            <w:r w:rsidRPr="00C717DA">
              <w:rPr>
                <w:color w:val="000000"/>
              </w:rPr>
              <w:t>Electrical</w:t>
            </w:r>
            <w:proofErr w:type="spellEnd"/>
            <w:r w:rsidRPr="00C717DA">
              <w:rPr>
                <w:color w:val="000000"/>
              </w:rPr>
              <w:t xml:space="preserve">, </w:t>
            </w:r>
            <w:proofErr w:type="spellStart"/>
            <w:r w:rsidRPr="00C717DA">
              <w:rPr>
                <w:color w:val="000000"/>
              </w:rPr>
              <w:t>electronic</w:t>
            </w:r>
            <w:proofErr w:type="spellEnd"/>
            <w:r w:rsidRPr="00C717DA">
              <w:rPr>
                <w:color w:val="000000"/>
              </w:rPr>
              <w:t xml:space="preserve"> and </w:t>
            </w:r>
            <w:proofErr w:type="spellStart"/>
            <w:r w:rsidRPr="00C717DA">
              <w:rPr>
                <w:color w:val="000000"/>
              </w:rPr>
              <w:t>optical</w:t>
            </w:r>
            <w:proofErr w:type="spellEnd"/>
            <w:r w:rsidRPr="00C717DA">
              <w:rPr>
                <w:color w:val="000000"/>
              </w:rPr>
              <w:t xml:space="preserve"> </w:t>
            </w:r>
            <w:proofErr w:type="spellStart"/>
            <w:r w:rsidRPr="00C717DA">
              <w:rPr>
                <w:color w:val="000000"/>
              </w:rPr>
              <w:t>equipment</w:t>
            </w:r>
            <w:proofErr w:type="spellEnd"/>
            <w:r w:rsidRPr="00C717DA">
              <w:rPr>
                <w:color w:val="000000"/>
              </w:rPr>
              <w:t xml:space="preserve"> (NACE1993 30,31,32,33)</w:t>
            </w: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Mean</w:t>
            </w:r>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-0.0743</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-0.0821</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0.0723</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0.0601</w:t>
            </w:r>
          </w:p>
        </w:tc>
      </w:tr>
      <w:tr w:rsidR="00C717DA" w:rsidRPr="00C717DA" w:rsidTr="00C717DA">
        <w:trPr>
          <w:trHeight w:val="300"/>
        </w:trPr>
        <w:tc>
          <w:tcPr>
            <w:tcW w:w="2850" w:type="dxa"/>
            <w:vMerge/>
            <w:tcBorders>
              <w:top w:val="nil"/>
              <w:left w:val="nil"/>
              <w:bottom w:val="nil"/>
              <w:right w:val="nil"/>
            </w:tcBorders>
            <w:vAlign w:val="center"/>
            <w:hideMark/>
          </w:tcPr>
          <w:p w:rsidR="00C717DA" w:rsidRPr="00C717DA" w:rsidRDefault="00C717DA" w:rsidP="00C717DA">
            <w:pPr>
              <w:rPr>
                <w:color w:val="000000"/>
              </w:rPr>
            </w:pP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t</w:t>
            </w:r>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-11.45</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-13.75</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13.60</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12.96</w:t>
            </w:r>
          </w:p>
        </w:tc>
      </w:tr>
      <w:tr w:rsidR="00C717DA" w:rsidRPr="00C717DA" w:rsidTr="00C717DA">
        <w:trPr>
          <w:trHeight w:val="300"/>
        </w:trPr>
        <w:tc>
          <w:tcPr>
            <w:tcW w:w="2850" w:type="dxa"/>
            <w:vMerge/>
            <w:tcBorders>
              <w:top w:val="nil"/>
              <w:left w:val="nil"/>
              <w:bottom w:val="nil"/>
              <w:right w:val="nil"/>
            </w:tcBorders>
            <w:vAlign w:val="center"/>
            <w:hideMark/>
          </w:tcPr>
          <w:p w:rsidR="00C717DA" w:rsidRPr="00C717DA" w:rsidRDefault="00C717DA" w:rsidP="00C717DA">
            <w:pPr>
              <w:rPr>
                <w:color w:val="000000"/>
              </w:rPr>
            </w:pP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 xml:space="preserve">Domar </w:t>
            </w:r>
            <w:proofErr w:type="spellStart"/>
            <w:r w:rsidRPr="00C717DA">
              <w:rPr>
                <w:bCs/>
                <w:color w:val="000000"/>
              </w:rPr>
              <w:t>bias</w:t>
            </w:r>
            <w:proofErr w:type="spellEnd"/>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-5.2%</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-5.7%</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5.0%</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4.2%</w:t>
            </w:r>
          </w:p>
        </w:tc>
      </w:tr>
      <w:tr w:rsidR="00C717DA" w:rsidRPr="00C717DA" w:rsidTr="00C717DA">
        <w:trPr>
          <w:trHeight w:val="300"/>
        </w:trPr>
        <w:tc>
          <w:tcPr>
            <w:tcW w:w="2850" w:type="dxa"/>
            <w:vMerge w:val="restart"/>
            <w:tcBorders>
              <w:top w:val="nil"/>
              <w:left w:val="nil"/>
              <w:bottom w:val="nil"/>
              <w:right w:val="nil"/>
            </w:tcBorders>
            <w:shd w:val="clear" w:color="auto" w:fill="auto"/>
            <w:noWrap/>
            <w:vAlign w:val="bottom"/>
            <w:hideMark/>
          </w:tcPr>
          <w:p w:rsidR="004543AF" w:rsidRPr="00B35A97" w:rsidRDefault="00C717DA" w:rsidP="00C717DA">
            <w:pPr>
              <w:rPr>
                <w:color w:val="000000"/>
              </w:rPr>
            </w:pPr>
            <w:r w:rsidRPr="00C717DA">
              <w:rPr>
                <w:color w:val="000000"/>
              </w:rPr>
              <w:t>11</w:t>
            </w:r>
            <w:r w:rsidRPr="00B35A97">
              <w:rPr>
                <w:color w:val="000000"/>
              </w:rPr>
              <w:t xml:space="preserve">  </w:t>
            </w:r>
            <w:proofErr w:type="spellStart"/>
            <w:r w:rsidRPr="00C717DA">
              <w:rPr>
                <w:color w:val="000000"/>
              </w:rPr>
              <w:t>Transport</w:t>
            </w:r>
            <w:proofErr w:type="spellEnd"/>
            <w:r w:rsidRPr="00C717DA">
              <w:rPr>
                <w:color w:val="000000"/>
              </w:rPr>
              <w:t xml:space="preserve"> </w:t>
            </w:r>
            <w:proofErr w:type="spellStart"/>
            <w:r w:rsidRPr="00C717DA">
              <w:rPr>
                <w:color w:val="000000"/>
              </w:rPr>
              <w:t>equipment</w:t>
            </w:r>
            <w:proofErr w:type="spellEnd"/>
            <w:r w:rsidRPr="00C717DA">
              <w:rPr>
                <w:color w:val="000000"/>
              </w:rPr>
              <w:t xml:space="preserve"> </w:t>
            </w:r>
          </w:p>
          <w:p w:rsidR="004543AF" w:rsidRPr="00B35A97" w:rsidRDefault="004543AF" w:rsidP="00C717DA">
            <w:pPr>
              <w:rPr>
                <w:color w:val="000000"/>
              </w:rPr>
            </w:pPr>
          </w:p>
          <w:p w:rsidR="00C717DA" w:rsidRPr="00C717DA" w:rsidRDefault="00C717DA" w:rsidP="00C717DA">
            <w:pPr>
              <w:rPr>
                <w:color w:val="000000"/>
              </w:rPr>
            </w:pPr>
            <w:r w:rsidRPr="00C717DA">
              <w:rPr>
                <w:color w:val="000000"/>
              </w:rPr>
              <w:t>(NACE1993 34,35)</w:t>
            </w: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Mean</w:t>
            </w:r>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-0.0668</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-0.0644</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0.0529</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0.0500</w:t>
            </w:r>
          </w:p>
        </w:tc>
      </w:tr>
      <w:tr w:rsidR="00C717DA" w:rsidRPr="00C717DA" w:rsidTr="00C717DA">
        <w:trPr>
          <w:trHeight w:val="300"/>
        </w:trPr>
        <w:tc>
          <w:tcPr>
            <w:tcW w:w="2850" w:type="dxa"/>
            <w:vMerge/>
            <w:tcBorders>
              <w:top w:val="nil"/>
              <w:left w:val="nil"/>
              <w:bottom w:val="nil"/>
              <w:right w:val="nil"/>
            </w:tcBorders>
            <w:vAlign w:val="center"/>
            <w:hideMark/>
          </w:tcPr>
          <w:p w:rsidR="00C717DA" w:rsidRPr="00C717DA" w:rsidRDefault="00C717DA" w:rsidP="00C717DA">
            <w:pPr>
              <w:rPr>
                <w:color w:val="000000"/>
              </w:rPr>
            </w:pP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t</w:t>
            </w:r>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-9.66</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-8.59</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4.82</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4.99</w:t>
            </w:r>
          </w:p>
        </w:tc>
      </w:tr>
      <w:tr w:rsidR="00C717DA" w:rsidRPr="00C717DA" w:rsidTr="00C717DA">
        <w:trPr>
          <w:trHeight w:val="300"/>
        </w:trPr>
        <w:tc>
          <w:tcPr>
            <w:tcW w:w="2850" w:type="dxa"/>
            <w:vMerge/>
            <w:tcBorders>
              <w:top w:val="nil"/>
              <w:left w:val="nil"/>
              <w:bottom w:val="nil"/>
              <w:right w:val="nil"/>
            </w:tcBorders>
            <w:vAlign w:val="center"/>
            <w:hideMark/>
          </w:tcPr>
          <w:p w:rsidR="00C717DA" w:rsidRPr="00C717DA" w:rsidRDefault="00C717DA" w:rsidP="00C717DA">
            <w:pPr>
              <w:rPr>
                <w:color w:val="000000"/>
              </w:rPr>
            </w:pP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 xml:space="preserve">Domar </w:t>
            </w:r>
            <w:proofErr w:type="spellStart"/>
            <w:r w:rsidRPr="00C717DA">
              <w:rPr>
                <w:bCs/>
                <w:color w:val="000000"/>
              </w:rPr>
              <w:t>bias</w:t>
            </w:r>
            <w:proofErr w:type="spellEnd"/>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-4.6%</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-4.5%</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3.7%</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3.5%</w:t>
            </w:r>
          </w:p>
        </w:tc>
      </w:tr>
      <w:tr w:rsidR="00C717DA" w:rsidRPr="00C717DA" w:rsidTr="00C717DA">
        <w:trPr>
          <w:trHeight w:val="300"/>
        </w:trPr>
        <w:tc>
          <w:tcPr>
            <w:tcW w:w="2850" w:type="dxa"/>
            <w:vMerge w:val="restart"/>
            <w:tcBorders>
              <w:top w:val="nil"/>
              <w:left w:val="nil"/>
              <w:bottom w:val="nil"/>
              <w:right w:val="nil"/>
            </w:tcBorders>
            <w:shd w:val="clear" w:color="auto" w:fill="auto"/>
            <w:noWrap/>
            <w:vAlign w:val="bottom"/>
            <w:hideMark/>
          </w:tcPr>
          <w:p w:rsidR="00C717DA" w:rsidRPr="00C717DA" w:rsidRDefault="00C717DA" w:rsidP="00C717DA">
            <w:pPr>
              <w:rPr>
                <w:color w:val="000000"/>
              </w:rPr>
            </w:pPr>
            <w:r w:rsidRPr="00C717DA">
              <w:rPr>
                <w:color w:val="000000"/>
              </w:rPr>
              <w:t>12</w:t>
            </w:r>
            <w:r w:rsidRPr="00B35A97">
              <w:rPr>
                <w:color w:val="000000"/>
              </w:rPr>
              <w:t xml:space="preserve">  </w:t>
            </w:r>
            <w:proofErr w:type="spellStart"/>
            <w:r w:rsidRPr="00C717DA">
              <w:rPr>
                <w:color w:val="000000"/>
              </w:rPr>
              <w:t>Miscellaneous</w:t>
            </w:r>
            <w:proofErr w:type="spellEnd"/>
            <w:r w:rsidRPr="00C717DA">
              <w:rPr>
                <w:color w:val="000000"/>
              </w:rPr>
              <w:t xml:space="preserve"> </w:t>
            </w:r>
            <w:proofErr w:type="spellStart"/>
            <w:r w:rsidRPr="00C717DA">
              <w:rPr>
                <w:color w:val="000000"/>
              </w:rPr>
              <w:t>manufacturing</w:t>
            </w:r>
            <w:proofErr w:type="spellEnd"/>
            <w:r w:rsidRPr="00C717DA">
              <w:rPr>
                <w:color w:val="000000"/>
              </w:rPr>
              <w:t xml:space="preserve"> </w:t>
            </w:r>
            <w:proofErr w:type="spellStart"/>
            <w:r w:rsidRPr="00C717DA">
              <w:rPr>
                <w:color w:val="000000"/>
              </w:rPr>
              <w:t>industries</w:t>
            </w:r>
            <w:proofErr w:type="spellEnd"/>
            <w:r w:rsidRPr="00C717DA">
              <w:rPr>
                <w:color w:val="000000"/>
              </w:rPr>
              <w:t xml:space="preserve"> (NACE1993 36,37)</w:t>
            </w: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Mean</w:t>
            </w:r>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-0.0318</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-0.0280</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0.0624</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0.0601</w:t>
            </w:r>
          </w:p>
        </w:tc>
      </w:tr>
      <w:tr w:rsidR="00C717DA" w:rsidRPr="00C717DA" w:rsidTr="00C717DA">
        <w:trPr>
          <w:trHeight w:val="300"/>
        </w:trPr>
        <w:tc>
          <w:tcPr>
            <w:tcW w:w="2850" w:type="dxa"/>
            <w:vMerge/>
            <w:tcBorders>
              <w:top w:val="nil"/>
              <w:left w:val="nil"/>
              <w:bottom w:val="nil"/>
              <w:right w:val="nil"/>
            </w:tcBorders>
            <w:vAlign w:val="center"/>
            <w:hideMark/>
          </w:tcPr>
          <w:p w:rsidR="00C717DA" w:rsidRPr="00C717DA" w:rsidRDefault="00C717DA" w:rsidP="00C717DA">
            <w:pPr>
              <w:rPr>
                <w:color w:val="000000"/>
              </w:rPr>
            </w:pP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t</w:t>
            </w:r>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-13.26</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-11.97</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10.26</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color w:val="000000"/>
              </w:rPr>
            </w:pPr>
            <w:r w:rsidRPr="00C717DA">
              <w:rPr>
                <w:color w:val="000000"/>
              </w:rPr>
              <w:t>10.15</w:t>
            </w:r>
          </w:p>
        </w:tc>
      </w:tr>
      <w:tr w:rsidR="00C717DA" w:rsidRPr="00C717DA" w:rsidTr="00C717DA">
        <w:trPr>
          <w:trHeight w:val="300"/>
        </w:trPr>
        <w:tc>
          <w:tcPr>
            <w:tcW w:w="2850" w:type="dxa"/>
            <w:vMerge/>
            <w:tcBorders>
              <w:top w:val="nil"/>
              <w:left w:val="nil"/>
              <w:bottom w:val="nil"/>
              <w:right w:val="nil"/>
            </w:tcBorders>
            <w:vAlign w:val="center"/>
            <w:hideMark/>
          </w:tcPr>
          <w:p w:rsidR="00C717DA" w:rsidRPr="00C717DA" w:rsidRDefault="00C717DA" w:rsidP="00C717DA">
            <w:pPr>
              <w:rPr>
                <w:color w:val="000000"/>
              </w:rPr>
            </w:pPr>
          </w:p>
        </w:tc>
        <w:tc>
          <w:tcPr>
            <w:tcW w:w="1418"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 xml:space="preserve">Domar </w:t>
            </w:r>
            <w:proofErr w:type="spellStart"/>
            <w:r w:rsidRPr="00C717DA">
              <w:rPr>
                <w:bCs/>
                <w:color w:val="000000"/>
              </w:rPr>
              <w:t>bias</w:t>
            </w:r>
            <w:proofErr w:type="spellEnd"/>
          </w:p>
        </w:tc>
        <w:tc>
          <w:tcPr>
            <w:tcW w:w="1276"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-2.2%</w:t>
            </w:r>
          </w:p>
        </w:tc>
        <w:tc>
          <w:tcPr>
            <w:tcW w:w="1417"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-1.9%</w:t>
            </w:r>
          </w:p>
        </w:tc>
        <w:tc>
          <w:tcPr>
            <w:tcW w:w="992"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4.3%</w:t>
            </w:r>
          </w:p>
        </w:tc>
        <w:tc>
          <w:tcPr>
            <w:tcW w:w="993" w:type="dxa"/>
            <w:tcBorders>
              <w:top w:val="nil"/>
              <w:left w:val="nil"/>
              <w:bottom w:val="nil"/>
              <w:right w:val="nil"/>
            </w:tcBorders>
            <w:shd w:val="clear" w:color="auto" w:fill="auto"/>
            <w:noWrap/>
            <w:vAlign w:val="bottom"/>
            <w:hideMark/>
          </w:tcPr>
          <w:p w:rsidR="00C717DA" w:rsidRPr="00C717DA" w:rsidRDefault="00C717DA" w:rsidP="00C717DA">
            <w:pPr>
              <w:jc w:val="center"/>
              <w:rPr>
                <w:bCs/>
                <w:color w:val="000000"/>
              </w:rPr>
            </w:pPr>
            <w:r w:rsidRPr="00C717DA">
              <w:rPr>
                <w:bCs/>
                <w:color w:val="000000"/>
              </w:rPr>
              <w:t>4.2%</w:t>
            </w:r>
          </w:p>
        </w:tc>
      </w:tr>
    </w:tbl>
    <w:p w:rsidR="006F24E2" w:rsidRDefault="00C717DA" w:rsidP="00C717DA">
      <w:pPr>
        <w:pStyle w:val="ICABRPictures-Tables"/>
      </w:pPr>
      <w:r>
        <w:t xml:space="preserve"> </w:t>
      </w:r>
    </w:p>
    <w:p w:rsidR="006F24E2" w:rsidRPr="006F24E2" w:rsidRDefault="006F24E2" w:rsidP="006F24E2">
      <w:pPr>
        <w:spacing w:before="120" w:after="120" w:line="360" w:lineRule="auto"/>
        <w:jc w:val="both"/>
        <w:rPr>
          <w:lang w:val="en-GB"/>
        </w:rPr>
      </w:pPr>
      <w:r w:rsidRPr="006F24E2">
        <w:rPr>
          <w:lang w:val="en-GB"/>
        </w:rPr>
        <w:lastRenderedPageBreak/>
        <w:t xml:space="preserve">It is </w:t>
      </w:r>
      <w:r w:rsidR="009226F8">
        <w:rPr>
          <w:lang w:val="en-GB"/>
        </w:rPr>
        <w:t>common</w:t>
      </w:r>
      <w:r w:rsidRPr="006F24E2">
        <w:rPr>
          <w:lang w:val="en-GB"/>
        </w:rPr>
        <w:t xml:space="preserve"> to observe negative results on the variables of size, and positive results on the variables of density. This result is remarkable because it differs from the empirical analysis at the city or provincial level in this paper. The most direct interpretation is either that the size of a large spatial economy reflects aspects other than population aggregation or that population density is a poor indicator of urbanization for regions. A comparison with the results presented in Table 1 suggests a preference for the first interpretation in relation to agglomeration economies. The interpretation of the results in the form of density remains to be explained.</w:t>
      </w:r>
    </w:p>
    <w:p w:rsidR="006F24E2" w:rsidRPr="006F24E2" w:rsidRDefault="006F24E2" w:rsidP="006F24E2">
      <w:pPr>
        <w:spacing w:before="120" w:after="120" w:line="360" w:lineRule="auto"/>
        <w:jc w:val="both"/>
        <w:rPr>
          <w:lang w:val="en-GB"/>
        </w:rPr>
      </w:pPr>
      <w:r w:rsidRPr="006F24E2">
        <w:rPr>
          <w:lang w:val="en-GB"/>
        </w:rPr>
        <w:t>It should be noted that in sectors 1 (Food, beverages and tobacco) and 6 (</w:t>
      </w:r>
      <w:r w:rsidR="00C24EE5">
        <w:rPr>
          <w:lang w:val="en-GB"/>
        </w:rPr>
        <w:t>R</w:t>
      </w:r>
      <w:r w:rsidRPr="006F24E2">
        <w:rPr>
          <w:lang w:val="en-GB"/>
        </w:rPr>
        <w:t xml:space="preserve">ubber and plastic), the pattern observed is negative, both with variables in levels and density. Finally, in sector 8 (Metallurgy and manufacture of metal products) the relationship between the </w:t>
      </w:r>
      <w:proofErr w:type="spellStart"/>
      <w:r w:rsidRPr="006F24E2">
        <w:rPr>
          <w:lang w:val="en-GB"/>
        </w:rPr>
        <w:t>Domar</w:t>
      </w:r>
      <w:proofErr w:type="spellEnd"/>
      <w:r w:rsidRPr="006F24E2">
        <w:rPr>
          <w:lang w:val="en-GB"/>
        </w:rPr>
        <w:t xml:space="preserve"> factor and size variables is positive. </w:t>
      </w:r>
    </w:p>
    <w:p w:rsidR="00C24EE5" w:rsidRPr="00491AD6" w:rsidRDefault="00C24EE5" w:rsidP="00C24EE5">
      <w:pPr>
        <w:pStyle w:val="ICABRPictures-Tables"/>
        <w:rPr>
          <w:rFonts w:ascii="Times New Roman" w:hAnsi="Times New Roman"/>
          <w:sz w:val="24"/>
          <w:szCs w:val="24"/>
        </w:rPr>
      </w:pPr>
      <w:r w:rsidRPr="00491AD6">
        <w:rPr>
          <w:rFonts w:ascii="Times New Roman" w:hAnsi="Times New Roman"/>
          <w:sz w:val="24"/>
          <w:szCs w:val="24"/>
        </w:rPr>
        <w:t>Tab</w:t>
      </w:r>
      <w:r w:rsidR="0087399A">
        <w:rPr>
          <w:rFonts w:ascii="Times New Roman" w:hAnsi="Times New Roman"/>
          <w:sz w:val="24"/>
          <w:szCs w:val="24"/>
        </w:rPr>
        <w:t>le</w:t>
      </w:r>
      <w:r w:rsidRPr="00491AD6">
        <w:rPr>
          <w:rFonts w:ascii="Times New Roman" w:hAnsi="Times New Roman"/>
          <w:sz w:val="24"/>
          <w:szCs w:val="24"/>
        </w:rPr>
        <w:t> </w:t>
      </w:r>
      <w:r>
        <w:rPr>
          <w:rFonts w:ascii="Times New Roman" w:hAnsi="Times New Roman"/>
          <w:sz w:val="24"/>
          <w:szCs w:val="24"/>
        </w:rPr>
        <w:t>3</w:t>
      </w:r>
      <w:r w:rsidR="0087399A">
        <w:rPr>
          <w:rFonts w:ascii="Times New Roman" w:hAnsi="Times New Roman"/>
          <w:sz w:val="24"/>
          <w:szCs w:val="24"/>
        </w:rPr>
        <w:t>a.</w:t>
      </w:r>
      <w:r w:rsidRPr="00491AD6">
        <w:rPr>
          <w:rFonts w:ascii="Times New Roman" w:hAnsi="Times New Roman"/>
          <w:sz w:val="24"/>
          <w:szCs w:val="24"/>
        </w:rPr>
        <w:t xml:space="preserve"> </w:t>
      </w:r>
      <w:proofErr w:type="spellStart"/>
      <w:r w:rsidRPr="00491AD6">
        <w:rPr>
          <w:rFonts w:ascii="Times New Roman" w:hAnsi="Times New Roman"/>
          <w:sz w:val="24"/>
          <w:szCs w:val="24"/>
        </w:rPr>
        <w:t>Domar</w:t>
      </w:r>
      <w:proofErr w:type="spellEnd"/>
      <w:r w:rsidRPr="00491AD6">
        <w:rPr>
          <w:rFonts w:ascii="Times New Roman" w:hAnsi="Times New Roman"/>
          <w:sz w:val="24"/>
          <w:szCs w:val="24"/>
        </w:rPr>
        <w:t xml:space="preserve"> Factor versus </w:t>
      </w:r>
      <w:r>
        <w:rPr>
          <w:rFonts w:ascii="Times New Roman" w:hAnsi="Times New Roman"/>
          <w:sz w:val="24"/>
          <w:szCs w:val="24"/>
        </w:rPr>
        <w:t>Region</w:t>
      </w:r>
      <w:r w:rsidRPr="00491AD6">
        <w:rPr>
          <w:rFonts w:ascii="Times New Roman" w:hAnsi="Times New Roman"/>
          <w:sz w:val="24"/>
          <w:szCs w:val="24"/>
        </w:rPr>
        <w:t xml:space="preserve"> Size</w:t>
      </w:r>
      <w:r>
        <w:rPr>
          <w:rFonts w:ascii="Times New Roman" w:hAnsi="Times New Roman"/>
          <w:sz w:val="24"/>
          <w:szCs w:val="24"/>
        </w:rPr>
        <w:t>, by Year</w:t>
      </w:r>
      <w:r w:rsidR="0087399A">
        <w:rPr>
          <w:rFonts w:ascii="Times New Roman" w:hAnsi="Times New Roman"/>
          <w:sz w:val="24"/>
          <w:szCs w:val="24"/>
        </w:rPr>
        <w:t xml:space="preserve"> 1993-1999</w:t>
      </w:r>
      <w:r w:rsidRPr="00491AD6">
        <w:rPr>
          <w:rFonts w:ascii="Times New Roman" w:hAnsi="Times New Roman"/>
          <w:sz w:val="24"/>
          <w:szCs w:val="24"/>
        </w:rPr>
        <w:t>. t-Tests.</w:t>
      </w:r>
    </w:p>
    <w:tbl>
      <w:tblPr>
        <w:tblW w:w="8562" w:type="dxa"/>
        <w:tblInd w:w="55" w:type="dxa"/>
        <w:tblCellMar>
          <w:left w:w="70" w:type="dxa"/>
          <w:right w:w="70" w:type="dxa"/>
        </w:tblCellMar>
        <w:tblLook w:val="04A0"/>
      </w:tblPr>
      <w:tblGrid>
        <w:gridCol w:w="1433"/>
        <w:gridCol w:w="1559"/>
        <w:gridCol w:w="1559"/>
        <w:gridCol w:w="1460"/>
        <w:gridCol w:w="1134"/>
        <w:gridCol w:w="1417"/>
      </w:tblGrid>
      <w:tr w:rsidR="007B6208" w:rsidRPr="007B6208" w:rsidTr="007B6208">
        <w:trPr>
          <w:trHeight w:val="315"/>
        </w:trPr>
        <w:tc>
          <w:tcPr>
            <w:tcW w:w="1433" w:type="dxa"/>
            <w:tcBorders>
              <w:top w:val="nil"/>
              <w:left w:val="nil"/>
              <w:bottom w:val="nil"/>
              <w:right w:val="nil"/>
            </w:tcBorders>
            <w:shd w:val="clear" w:color="auto" w:fill="auto"/>
            <w:noWrap/>
            <w:vAlign w:val="bottom"/>
            <w:hideMark/>
          </w:tcPr>
          <w:p w:rsidR="007B6208" w:rsidRPr="007B6208" w:rsidRDefault="007B6208" w:rsidP="0087399A">
            <w:pPr>
              <w:jc w:val="center"/>
              <w:rPr>
                <w:b/>
                <w:bCs/>
                <w:color w:val="000000"/>
              </w:rPr>
            </w:pPr>
            <w:proofErr w:type="spellStart"/>
            <w:r w:rsidRPr="007B6208">
              <w:rPr>
                <w:b/>
                <w:bCs/>
                <w:color w:val="000000"/>
              </w:rPr>
              <w:t>Year</w:t>
            </w:r>
            <w:proofErr w:type="spellEnd"/>
          </w:p>
        </w:tc>
        <w:tc>
          <w:tcPr>
            <w:tcW w:w="1559" w:type="dxa"/>
            <w:tcBorders>
              <w:top w:val="nil"/>
              <w:left w:val="nil"/>
              <w:bottom w:val="nil"/>
              <w:right w:val="nil"/>
            </w:tcBorders>
            <w:shd w:val="clear" w:color="auto" w:fill="auto"/>
            <w:noWrap/>
            <w:vAlign w:val="bottom"/>
            <w:hideMark/>
          </w:tcPr>
          <w:p w:rsidR="007B6208" w:rsidRPr="007B6208" w:rsidRDefault="007B6208" w:rsidP="0087399A">
            <w:pPr>
              <w:jc w:val="center"/>
              <w:rPr>
                <w:color w:val="000000"/>
              </w:rPr>
            </w:pPr>
          </w:p>
        </w:tc>
        <w:tc>
          <w:tcPr>
            <w:tcW w:w="1559" w:type="dxa"/>
            <w:tcBorders>
              <w:top w:val="nil"/>
              <w:left w:val="nil"/>
              <w:bottom w:val="nil"/>
              <w:right w:val="nil"/>
            </w:tcBorders>
            <w:shd w:val="clear" w:color="auto" w:fill="auto"/>
            <w:noWrap/>
            <w:vAlign w:val="bottom"/>
            <w:hideMark/>
          </w:tcPr>
          <w:p w:rsidR="007B6208" w:rsidRPr="007B6208" w:rsidRDefault="007B6208" w:rsidP="0087399A">
            <w:pPr>
              <w:jc w:val="center"/>
              <w:rPr>
                <w:b/>
                <w:bCs/>
                <w:color w:val="000000"/>
              </w:rPr>
            </w:pPr>
            <w:proofErr w:type="spellStart"/>
            <w:r w:rsidRPr="007B6208">
              <w:rPr>
                <w:b/>
                <w:bCs/>
                <w:color w:val="000000"/>
              </w:rPr>
              <w:t>Population</w:t>
            </w:r>
            <w:proofErr w:type="spellEnd"/>
          </w:p>
        </w:tc>
        <w:tc>
          <w:tcPr>
            <w:tcW w:w="1460" w:type="dxa"/>
            <w:tcBorders>
              <w:top w:val="nil"/>
              <w:left w:val="nil"/>
              <w:bottom w:val="nil"/>
              <w:right w:val="nil"/>
            </w:tcBorders>
            <w:shd w:val="clear" w:color="auto" w:fill="auto"/>
            <w:noWrap/>
            <w:vAlign w:val="bottom"/>
            <w:hideMark/>
          </w:tcPr>
          <w:p w:rsidR="007B6208" w:rsidRPr="007B6208" w:rsidRDefault="007B6208" w:rsidP="0087399A">
            <w:pPr>
              <w:jc w:val="center"/>
              <w:rPr>
                <w:b/>
                <w:bCs/>
                <w:color w:val="000000"/>
              </w:rPr>
            </w:pPr>
            <w:proofErr w:type="spellStart"/>
            <w:r w:rsidRPr="007B6208">
              <w:rPr>
                <w:b/>
                <w:bCs/>
                <w:color w:val="000000"/>
              </w:rPr>
              <w:t>Employment</w:t>
            </w:r>
            <w:proofErr w:type="spellEnd"/>
          </w:p>
        </w:tc>
        <w:tc>
          <w:tcPr>
            <w:tcW w:w="1134" w:type="dxa"/>
            <w:tcBorders>
              <w:top w:val="nil"/>
              <w:left w:val="nil"/>
              <w:bottom w:val="nil"/>
              <w:right w:val="nil"/>
            </w:tcBorders>
            <w:shd w:val="clear" w:color="auto" w:fill="auto"/>
            <w:noWrap/>
            <w:vAlign w:val="bottom"/>
            <w:hideMark/>
          </w:tcPr>
          <w:p w:rsidR="007B6208" w:rsidRPr="007B6208" w:rsidRDefault="007B6208" w:rsidP="0087399A">
            <w:pPr>
              <w:jc w:val="center"/>
              <w:rPr>
                <w:b/>
                <w:bCs/>
                <w:color w:val="000000"/>
              </w:rPr>
            </w:pPr>
            <w:r w:rsidRPr="007B6208">
              <w:rPr>
                <w:b/>
                <w:bCs/>
                <w:color w:val="000000"/>
              </w:rPr>
              <w:t xml:space="preserve">Pop. </w:t>
            </w:r>
            <w:proofErr w:type="spellStart"/>
            <w:r w:rsidRPr="007B6208">
              <w:rPr>
                <w:b/>
                <w:bCs/>
                <w:color w:val="000000"/>
              </w:rPr>
              <w:t>density</w:t>
            </w:r>
            <w:proofErr w:type="spellEnd"/>
          </w:p>
        </w:tc>
        <w:tc>
          <w:tcPr>
            <w:tcW w:w="1417" w:type="dxa"/>
            <w:tcBorders>
              <w:top w:val="nil"/>
              <w:left w:val="nil"/>
              <w:bottom w:val="nil"/>
              <w:right w:val="nil"/>
            </w:tcBorders>
            <w:shd w:val="clear" w:color="auto" w:fill="auto"/>
            <w:noWrap/>
            <w:vAlign w:val="bottom"/>
            <w:hideMark/>
          </w:tcPr>
          <w:p w:rsidR="007B6208" w:rsidRPr="007B6208" w:rsidRDefault="007B6208" w:rsidP="0087399A">
            <w:pPr>
              <w:jc w:val="center"/>
              <w:rPr>
                <w:b/>
                <w:bCs/>
                <w:color w:val="000000"/>
              </w:rPr>
            </w:pPr>
            <w:proofErr w:type="spellStart"/>
            <w:r w:rsidRPr="007B6208">
              <w:rPr>
                <w:b/>
                <w:bCs/>
                <w:color w:val="000000"/>
              </w:rPr>
              <w:t>Empl</w:t>
            </w:r>
            <w:proofErr w:type="spellEnd"/>
            <w:r w:rsidRPr="007B6208">
              <w:rPr>
                <w:b/>
                <w:bCs/>
                <w:color w:val="000000"/>
              </w:rPr>
              <w:t xml:space="preserve">. </w:t>
            </w:r>
            <w:proofErr w:type="spellStart"/>
            <w:r w:rsidRPr="007B6208">
              <w:rPr>
                <w:b/>
                <w:bCs/>
                <w:color w:val="000000"/>
              </w:rPr>
              <w:t>density</w:t>
            </w:r>
            <w:proofErr w:type="spellEnd"/>
          </w:p>
        </w:tc>
      </w:tr>
      <w:tr w:rsidR="007B6208" w:rsidRPr="007B6208" w:rsidTr="007B6208">
        <w:trPr>
          <w:trHeight w:val="315"/>
        </w:trPr>
        <w:tc>
          <w:tcPr>
            <w:tcW w:w="1433" w:type="dxa"/>
            <w:vMerge w:val="restart"/>
            <w:tcBorders>
              <w:top w:val="nil"/>
              <w:left w:val="nil"/>
              <w:bottom w:val="nil"/>
              <w:right w:val="nil"/>
            </w:tcBorders>
            <w:shd w:val="clear" w:color="auto" w:fill="auto"/>
            <w:noWrap/>
            <w:vAlign w:val="bottom"/>
            <w:hideMark/>
          </w:tcPr>
          <w:p w:rsidR="007B6208" w:rsidRPr="0087399A" w:rsidRDefault="007B6208" w:rsidP="007B6208">
            <w:pPr>
              <w:jc w:val="center"/>
              <w:rPr>
                <w:color w:val="000000"/>
              </w:rPr>
            </w:pPr>
            <w:r w:rsidRPr="007B6208">
              <w:rPr>
                <w:color w:val="000000"/>
              </w:rPr>
              <w:t>1993</w:t>
            </w:r>
          </w:p>
          <w:p w:rsidR="007B6208" w:rsidRPr="0087399A" w:rsidRDefault="007B6208" w:rsidP="007B6208">
            <w:pPr>
              <w:jc w:val="center"/>
              <w:rPr>
                <w:color w:val="000000"/>
              </w:rPr>
            </w:pPr>
          </w:p>
          <w:p w:rsidR="007B6208" w:rsidRPr="007B6208" w:rsidRDefault="007B6208" w:rsidP="007B6208">
            <w:pPr>
              <w:jc w:val="center"/>
              <w:rPr>
                <w:color w:val="000000"/>
              </w:rPr>
            </w:pP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Mean</w:t>
            </w: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-0.0355</w:t>
            </w:r>
          </w:p>
        </w:tc>
        <w:tc>
          <w:tcPr>
            <w:tcW w:w="1460"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-0.0347</w:t>
            </w:r>
          </w:p>
        </w:tc>
        <w:tc>
          <w:tcPr>
            <w:tcW w:w="1134"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0.0374</w:t>
            </w:r>
          </w:p>
        </w:tc>
        <w:tc>
          <w:tcPr>
            <w:tcW w:w="1417"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0.0366</w:t>
            </w:r>
          </w:p>
        </w:tc>
      </w:tr>
      <w:tr w:rsidR="007B6208" w:rsidRPr="007B6208" w:rsidTr="007B6208">
        <w:trPr>
          <w:trHeight w:val="315"/>
        </w:trPr>
        <w:tc>
          <w:tcPr>
            <w:tcW w:w="1433" w:type="dxa"/>
            <w:vMerge/>
            <w:tcBorders>
              <w:top w:val="nil"/>
              <w:left w:val="nil"/>
              <w:bottom w:val="nil"/>
              <w:right w:val="nil"/>
            </w:tcBorders>
            <w:vAlign w:val="center"/>
            <w:hideMark/>
          </w:tcPr>
          <w:p w:rsidR="007B6208" w:rsidRPr="007B6208" w:rsidRDefault="007B6208" w:rsidP="007B6208">
            <w:pPr>
              <w:rPr>
                <w:color w:val="000000"/>
              </w:rPr>
            </w:pP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t</w:t>
            </w: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-4.69</w:t>
            </w:r>
          </w:p>
        </w:tc>
        <w:tc>
          <w:tcPr>
            <w:tcW w:w="1460"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-4.58</w:t>
            </w:r>
          </w:p>
        </w:tc>
        <w:tc>
          <w:tcPr>
            <w:tcW w:w="1134"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1.72</w:t>
            </w:r>
          </w:p>
        </w:tc>
        <w:tc>
          <w:tcPr>
            <w:tcW w:w="1417"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1.80</w:t>
            </w:r>
          </w:p>
        </w:tc>
      </w:tr>
      <w:tr w:rsidR="007B6208" w:rsidRPr="007B6208" w:rsidTr="007B6208">
        <w:trPr>
          <w:trHeight w:val="315"/>
        </w:trPr>
        <w:tc>
          <w:tcPr>
            <w:tcW w:w="1433" w:type="dxa"/>
            <w:vMerge/>
            <w:tcBorders>
              <w:top w:val="nil"/>
              <w:left w:val="nil"/>
              <w:bottom w:val="nil"/>
              <w:right w:val="nil"/>
            </w:tcBorders>
            <w:vAlign w:val="center"/>
            <w:hideMark/>
          </w:tcPr>
          <w:p w:rsidR="007B6208" w:rsidRPr="007B6208" w:rsidRDefault="007B6208" w:rsidP="007B6208">
            <w:pPr>
              <w:rPr>
                <w:color w:val="000000"/>
              </w:rPr>
            </w:pP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bCs/>
                <w:color w:val="000000"/>
              </w:rPr>
              <w:t xml:space="preserve">Domar </w:t>
            </w:r>
            <w:proofErr w:type="spellStart"/>
            <w:r w:rsidRPr="007B6208">
              <w:rPr>
                <w:bCs/>
                <w:color w:val="000000"/>
              </w:rPr>
              <w:t>bias</w:t>
            </w:r>
            <w:proofErr w:type="spellEnd"/>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-2.5%</w:t>
            </w:r>
          </w:p>
        </w:tc>
        <w:tc>
          <w:tcPr>
            <w:tcW w:w="1460"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-2.4%</w:t>
            </w:r>
          </w:p>
        </w:tc>
        <w:tc>
          <w:tcPr>
            <w:tcW w:w="1134"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2.6%</w:t>
            </w:r>
          </w:p>
        </w:tc>
        <w:tc>
          <w:tcPr>
            <w:tcW w:w="1417"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2.5%</w:t>
            </w:r>
          </w:p>
        </w:tc>
      </w:tr>
      <w:tr w:rsidR="007B6208" w:rsidRPr="007B6208" w:rsidTr="007B6208">
        <w:trPr>
          <w:trHeight w:val="315"/>
        </w:trPr>
        <w:tc>
          <w:tcPr>
            <w:tcW w:w="1433" w:type="dxa"/>
            <w:vMerge w:val="restart"/>
            <w:tcBorders>
              <w:top w:val="nil"/>
              <w:left w:val="nil"/>
              <w:bottom w:val="nil"/>
              <w:right w:val="nil"/>
            </w:tcBorders>
            <w:shd w:val="clear" w:color="auto" w:fill="auto"/>
            <w:noWrap/>
            <w:vAlign w:val="bottom"/>
            <w:hideMark/>
          </w:tcPr>
          <w:p w:rsidR="007B6208" w:rsidRPr="0087399A" w:rsidRDefault="007B6208" w:rsidP="007B6208">
            <w:pPr>
              <w:jc w:val="center"/>
              <w:rPr>
                <w:color w:val="000000"/>
              </w:rPr>
            </w:pPr>
            <w:r w:rsidRPr="007B6208">
              <w:rPr>
                <w:color w:val="000000"/>
              </w:rPr>
              <w:t>1994</w:t>
            </w:r>
          </w:p>
          <w:p w:rsidR="007B6208" w:rsidRPr="0087399A" w:rsidRDefault="007B6208" w:rsidP="007B6208">
            <w:pPr>
              <w:jc w:val="center"/>
              <w:rPr>
                <w:color w:val="000000"/>
              </w:rPr>
            </w:pPr>
          </w:p>
          <w:p w:rsidR="007B6208" w:rsidRPr="007B6208" w:rsidRDefault="007B6208" w:rsidP="007B6208">
            <w:pPr>
              <w:jc w:val="center"/>
              <w:rPr>
                <w:color w:val="000000"/>
              </w:rPr>
            </w:pP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Mean</w:t>
            </w: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-0.0238</w:t>
            </w:r>
          </w:p>
        </w:tc>
        <w:tc>
          <w:tcPr>
            <w:tcW w:w="1460"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-0.0252</w:t>
            </w:r>
          </w:p>
        </w:tc>
        <w:tc>
          <w:tcPr>
            <w:tcW w:w="1134"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0.0325</w:t>
            </w:r>
          </w:p>
        </w:tc>
        <w:tc>
          <w:tcPr>
            <w:tcW w:w="1417"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0.0296</w:t>
            </w:r>
          </w:p>
        </w:tc>
      </w:tr>
      <w:tr w:rsidR="007B6208" w:rsidRPr="007B6208" w:rsidTr="007B6208">
        <w:trPr>
          <w:trHeight w:val="315"/>
        </w:trPr>
        <w:tc>
          <w:tcPr>
            <w:tcW w:w="1433" w:type="dxa"/>
            <w:vMerge/>
            <w:tcBorders>
              <w:top w:val="nil"/>
              <w:left w:val="nil"/>
              <w:bottom w:val="nil"/>
              <w:right w:val="nil"/>
            </w:tcBorders>
            <w:vAlign w:val="center"/>
            <w:hideMark/>
          </w:tcPr>
          <w:p w:rsidR="007B6208" w:rsidRPr="007B6208" w:rsidRDefault="007B6208" w:rsidP="007B6208">
            <w:pPr>
              <w:rPr>
                <w:color w:val="000000"/>
              </w:rPr>
            </w:pP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t</w:t>
            </w: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-1.78</w:t>
            </w:r>
          </w:p>
        </w:tc>
        <w:tc>
          <w:tcPr>
            <w:tcW w:w="1460"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-1.83</w:t>
            </w:r>
          </w:p>
        </w:tc>
        <w:tc>
          <w:tcPr>
            <w:tcW w:w="1134"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1.46</w:t>
            </w:r>
          </w:p>
        </w:tc>
        <w:tc>
          <w:tcPr>
            <w:tcW w:w="1417"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1.42</w:t>
            </w:r>
          </w:p>
        </w:tc>
      </w:tr>
      <w:tr w:rsidR="007B6208" w:rsidRPr="007B6208" w:rsidTr="007B6208">
        <w:trPr>
          <w:trHeight w:val="315"/>
        </w:trPr>
        <w:tc>
          <w:tcPr>
            <w:tcW w:w="1433" w:type="dxa"/>
            <w:vMerge/>
            <w:tcBorders>
              <w:top w:val="nil"/>
              <w:left w:val="nil"/>
              <w:bottom w:val="nil"/>
              <w:right w:val="nil"/>
            </w:tcBorders>
            <w:vAlign w:val="center"/>
            <w:hideMark/>
          </w:tcPr>
          <w:p w:rsidR="007B6208" w:rsidRPr="007B6208" w:rsidRDefault="007B6208" w:rsidP="007B6208">
            <w:pPr>
              <w:rPr>
                <w:color w:val="000000"/>
              </w:rPr>
            </w:pP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bCs/>
                <w:color w:val="000000"/>
              </w:rPr>
              <w:t xml:space="preserve">Domar </w:t>
            </w:r>
            <w:proofErr w:type="spellStart"/>
            <w:r w:rsidRPr="007B6208">
              <w:rPr>
                <w:bCs/>
                <w:color w:val="000000"/>
              </w:rPr>
              <w:t>bias</w:t>
            </w:r>
            <w:proofErr w:type="spellEnd"/>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-1.7%</w:t>
            </w:r>
          </w:p>
        </w:tc>
        <w:tc>
          <w:tcPr>
            <w:tcW w:w="1460"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-1.7%</w:t>
            </w:r>
          </w:p>
        </w:tc>
        <w:tc>
          <w:tcPr>
            <w:tcW w:w="1134"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2.3%</w:t>
            </w:r>
          </w:p>
        </w:tc>
        <w:tc>
          <w:tcPr>
            <w:tcW w:w="1417"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2.1%</w:t>
            </w:r>
          </w:p>
        </w:tc>
      </w:tr>
      <w:tr w:rsidR="007B6208" w:rsidRPr="007B6208" w:rsidTr="007B6208">
        <w:trPr>
          <w:trHeight w:val="315"/>
        </w:trPr>
        <w:tc>
          <w:tcPr>
            <w:tcW w:w="1433" w:type="dxa"/>
            <w:vMerge w:val="restart"/>
            <w:tcBorders>
              <w:top w:val="nil"/>
              <w:left w:val="nil"/>
              <w:bottom w:val="nil"/>
              <w:right w:val="nil"/>
            </w:tcBorders>
            <w:shd w:val="clear" w:color="auto" w:fill="auto"/>
            <w:noWrap/>
            <w:vAlign w:val="bottom"/>
            <w:hideMark/>
          </w:tcPr>
          <w:p w:rsidR="007B6208" w:rsidRPr="0087399A" w:rsidRDefault="007B6208" w:rsidP="007B6208">
            <w:pPr>
              <w:jc w:val="center"/>
              <w:rPr>
                <w:color w:val="000000"/>
              </w:rPr>
            </w:pPr>
            <w:r w:rsidRPr="007B6208">
              <w:rPr>
                <w:color w:val="000000"/>
              </w:rPr>
              <w:t>1995</w:t>
            </w:r>
          </w:p>
          <w:p w:rsidR="007B6208" w:rsidRPr="0087399A" w:rsidRDefault="007B6208" w:rsidP="007B6208">
            <w:pPr>
              <w:jc w:val="center"/>
              <w:rPr>
                <w:color w:val="000000"/>
              </w:rPr>
            </w:pPr>
          </w:p>
          <w:p w:rsidR="007B6208" w:rsidRPr="007B6208" w:rsidRDefault="007B6208" w:rsidP="007B6208">
            <w:pPr>
              <w:jc w:val="center"/>
              <w:rPr>
                <w:color w:val="000000"/>
              </w:rPr>
            </w:pP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Mean</w:t>
            </w: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-0.0275</w:t>
            </w:r>
          </w:p>
        </w:tc>
        <w:tc>
          <w:tcPr>
            <w:tcW w:w="1460"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-0.0264</w:t>
            </w:r>
          </w:p>
        </w:tc>
        <w:tc>
          <w:tcPr>
            <w:tcW w:w="1134"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0.0178</w:t>
            </w:r>
          </w:p>
        </w:tc>
        <w:tc>
          <w:tcPr>
            <w:tcW w:w="1417"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0.0173</w:t>
            </w:r>
          </w:p>
        </w:tc>
      </w:tr>
      <w:tr w:rsidR="007B6208" w:rsidRPr="007B6208" w:rsidTr="007B6208">
        <w:trPr>
          <w:trHeight w:val="315"/>
        </w:trPr>
        <w:tc>
          <w:tcPr>
            <w:tcW w:w="1433" w:type="dxa"/>
            <w:vMerge/>
            <w:tcBorders>
              <w:top w:val="nil"/>
              <w:left w:val="nil"/>
              <w:bottom w:val="nil"/>
              <w:right w:val="nil"/>
            </w:tcBorders>
            <w:vAlign w:val="center"/>
            <w:hideMark/>
          </w:tcPr>
          <w:p w:rsidR="007B6208" w:rsidRPr="007B6208" w:rsidRDefault="007B6208" w:rsidP="007B6208">
            <w:pPr>
              <w:rPr>
                <w:color w:val="000000"/>
              </w:rPr>
            </w:pP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t</w:t>
            </w: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-2.00</w:t>
            </w:r>
          </w:p>
        </w:tc>
        <w:tc>
          <w:tcPr>
            <w:tcW w:w="1460"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-2.01</w:t>
            </w:r>
          </w:p>
        </w:tc>
        <w:tc>
          <w:tcPr>
            <w:tcW w:w="1134"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0.98</w:t>
            </w:r>
          </w:p>
        </w:tc>
        <w:tc>
          <w:tcPr>
            <w:tcW w:w="1417"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1.03</w:t>
            </w:r>
          </w:p>
        </w:tc>
      </w:tr>
      <w:tr w:rsidR="007B6208" w:rsidRPr="007B6208" w:rsidTr="007B6208">
        <w:trPr>
          <w:trHeight w:val="315"/>
        </w:trPr>
        <w:tc>
          <w:tcPr>
            <w:tcW w:w="1433" w:type="dxa"/>
            <w:vMerge/>
            <w:tcBorders>
              <w:top w:val="nil"/>
              <w:left w:val="nil"/>
              <w:bottom w:val="nil"/>
              <w:right w:val="nil"/>
            </w:tcBorders>
            <w:vAlign w:val="center"/>
            <w:hideMark/>
          </w:tcPr>
          <w:p w:rsidR="007B6208" w:rsidRPr="007B6208" w:rsidRDefault="007B6208" w:rsidP="007B6208">
            <w:pPr>
              <w:rPr>
                <w:color w:val="000000"/>
              </w:rPr>
            </w:pP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bCs/>
                <w:color w:val="000000"/>
              </w:rPr>
              <w:t xml:space="preserve">Domar </w:t>
            </w:r>
            <w:proofErr w:type="spellStart"/>
            <w:r w:rsidRPr="007B6208">
              <w:rPr>
                <w:bCs/>
                <w:color w:val="000000"/>
              </w:rPr>
              <w:t>bias</w:t>
            </w:r>
            <w:proofErr w:type="spellEnd"/>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-1.9%</w:t>
            </w:r>
          </w:p>
        </w:tc>
        <w:tc>
          <w:tcPr>
            <w:tcW w:w="1460"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-1.8%</w:t>
            </w:r>
          </w:p>
        </w:tc>
        <w:tc>
          <w:tcPr>
            <w:tcW w:w="1134"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1.2%</w:t>
            </w:r>
          </w:p>
        </w:tc>
        <w:tc>
          <w:tcPr>
            <w:tcW w:w="1417"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1.2%</w:t>
            </w:r>
          </w:p>
        </w:tc>
      </w:tr>
      <w:tr w:rsidR="007B6208" w:rsidRPr="007B6208" w:rsidTr="007B6208">
        <w:trPr>
          <w:trHeight w:val="315"/>
        </w:trPr>
        <w:tc>
          <w:tcPr>
            <w:tcW w:w="1433" w:type="dxa"/>
            <w:vMerge w:val="restart"/>
            <w:tcBorders>
              <w:top w:val="nil"/>
              <w:left w:val="nil"/>
              <w:bottom w:val="nil"/>
              <w:right w:val="nil"/>
            </w:tcBorders>
            <w:shd w:val="clear" w:color="auto" w:fill="auto"/>
            <w:noWrap/>
            <w:vAlign w:val="bottom"/>
            <w:hideMark/>
          </w:tcPr>
          <w:p w:rsidR="007B6208" w:rsidRPr="0087399A" w:rsidRDefault="007B6208" w:rsidP="007B6208">
            <w:pPr>
              <w:jc w:val="center"/>
              <w:rPr>
                <w:color w:val="000000"/>
              </w:rPr>
            </w:pPr>
            <w:r w:rsidRPr="007B6208">
              <w:rPr>
                <w:color w:val="000000"/>
              </w:rPr>
              <w:t>1996</w:t>
            </w:r>
          </w:p>
          <w:p w:rsidR="007B6208" w:rsidRPr="0087399A" w:rsidRDefault="007B6208" w:rsidP="007B6208">
            <w:pPr>
              <w:jc w:val="center"/>
              <w:rPr>
                <w:color w:val="000000"/>
              </w:rPr>
            </w:pPr>
          </w:p>
          <w:p w:rsidR="007B6208" w:rsidRPr="007B6208" w:rsidRDefault="007B6208" w:rsidP="007B6208">
            <w:pPr>
              <w:jc w:val="center"/>
              <w:rPr>
                <w:color w:val="000000"/>
              </w:rPr>
            </w:pP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Mean</w:t>
            </w: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-0.0310</w:t>
            </w:r>
          </w:p>
        </w:tc>
        <w:tc>
          <w:tcPr>
            <w:tcW w:w="1460"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-0.0299</w:t>
            </w:r>
          </w:p>
        </w:tc>
        <w:tc>
          <w:tcPr>
            <w:tcW w:w="1134"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0.0116</w:t>
            </w:r>
          </w:p>
        </w:tc>
        <w:tc>
          <w:tcPr>
            <w:tcW w:w="1417"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0.0119</w:t>
            </w:r>
          </w:p>
        </w:tc>
      </w:tr>
      <w:tr w:rsidR="007B6208" w:rsidRPr="007B6208" w:rsidTr="007B6208">
        <w:trPr>
          <w:trHeight w:val="315"/>
        </w:trPr>
        <w:tc>
          <w:tcPr>
            <w:tcW w:w="1433" w:type="dxa"/>
            <w:vMerge/>
            <w:tcBorders>
              <w:top w:val="nil"/>
              <w:left w:val="nil"/>
              <w:bottom w:val="nil"/>
              <w:right w:val="nil"/>
            </w:tcBorders>
            <w:vAlign w:val="center"/>
            <w:hideMark/>
          </w:tcPr>
          <w:p w:rsidR="007B6208" w:rsidRPr="007B6208" w:rsidRDefault="007B6208" w:rsidP="007B6208">
            <w:pPr>
              <w:rPr>
                <w:color w:val="000000"/>
              </w:rPr>
            </w:pP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t</w:t>
            </w: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-2.36</w:t>
            </w:r>
          </w:p>
        </w:tc>
        <w:tc>
          <w:tcPr>
            <w:tcW w:w="1460"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-2.22</w:t>
            </w:r>
          </w:p>
        </w:tc>
        <w:tc>
          <w:tcPr>
            <w:tcW w:w="1134"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0.65</w:t>
            </w:r>
          </w:p>
        </w:tc>
        <w:tc>
          <w:tcPr>
            <w:tcW w:w="1417"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0.71</w:t>
            </w:r>
          </w:p>
        </w:tc>
      </w:tr>
      <w:tr w:rsidR="007B6208" w:rsidRPr="007B6208" w:rsidTr="007B6208">
        <w:trPr>
          <w:trHeight w:val="315"/>
        </w:trPr>
        <w:tc>
          <w:tcPr>
            <w:tcW w:w="1433" w:type="dxa"/>
            <w:vMerge/>
            <w:tcBorders>
              <w:top w:val="nil"/>
              <w:left w:val="nil"/>
              <w:bottom w:val="nil"/>
              <w:right w:val="nil"/>
            </w:tcBorders>
            <w:vAlign w:val="center"/>
            <w:hideMark/>
          </w:tcPr>
          <w:p w:rsidR="007B6208" w:rsidRPr="007B6208" w:rsidRDefault="007B6208" w:rsidP="007B6208">
            <w:pPr>
              <w:rPr>
                <w:color w:val="000000"/>
              </w:rPr>
            </w:pP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bCs/>
                <w:color w:val="000000"/>
              </w:rPr>
              <w:t xml:space="preserve">Domar </w:t>
            </w:r>
            <w:proofErr w:type="spellStart"/>
            <w:r w:rsidRPr="007B6208">
              <w:rPr>
                <w:bCs/>
                <w:color w:val="000000"/>
              </w:rPr>
              <w:t>bias</w:t>
            </w:r>
            <w:proofErr w:type="spellEnd"/>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-2.1%</w:t>
            </w:r>
          </w:p>
        </w:tc>
        <w:tc>
          <w:tcPr>
            <w:tcW w:w="1460"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-2.1%</w:t>
            </w:r>
          </w:p>
        </w:tc>
        <w:tc>
          <w:tcPr>
            <w:tcW w:w="1134"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0.8%</w:t>
            </w:r>
          </w:p>
        </w:tc>
        <w:tc>
          <w:tcPr>
            <w:tcW w:w="1417"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0.8%</w:t>
            </w:r>
          </w:p>
        </w:tc>
      </w:tr>
      <w:tr w:rsidR="007B6208" w:rsidRPr="007B6208" w:rsidTr="007B6208">
        <w:trPr>
          <w:trHeight w:val="315"/>
        </w:trPr>
        <w:tc>
          <w:tcPr>
            <w:tcW w:w="1433" w:type="dxa"/>
            <w:vMerge w:val="restart"/>
            <w:tcBorders>
              <w:top w:val="nil"/>
              <w:left w:val="nil"/>
              <w:bottom w:val="nil"/>
              <w:right w:val="nil"/>
            </w:tcBorders>
            <w:shd w:val="clear" w:color="auto" w:fill="auto"/>
            <w:noWrap/>
            <w:vAlign w:val="bottom"/>
            <w:hideMark/>
          </w:tcPr>
          <w:p w:rsidR="007B6208" w:rsidRPr="0087399A" w:rsidRDefault="007B6208" w:rsidP="007B6208">
            <w:pPr>
              <w:jc w:val="center"/>
              <w:rPr>
                <w:color w:val="000000"/>
              </w:rPr>
            </w:pPr>
            <w:r w:rsidRPr="007B6208">
              <w:rPr>
                <w:color w:val="000000"/>
              </w:rPr>
              <w:t>1997</w:t>
            </w:r>
          </w:p>
          <w:p w:rsidR="007B6208" w:rsidRPr="0087399A" w:rsidRDefault="007B6208" w:rsidP="007B6208">
            <w:pPr>
              <w:jc w:val="center"/>
              <w:rPr>
                <w:color w:val="000000"/>
              </w:rPr>
            </w:pPr>
          </w:p>
          <w:p w:rsidR="007B6208" w:rsidRPr="007B6208" w:rsidRDefault="007B6208" w:rsidP="007B6208">
            <w:pPr>
              <w:jc w:val="center"/>
              <w:rPr>
                <w:color w:val="000000"/>
              </w:rPr>
            </w:pP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Mean</w:t>
            </w: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-0.0325</w:t>
            </w:r>
          </w:p>
        </w:tc>
        <w:tc>
          <w:tcPr>
            <w:tcW w:w="1460"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-0.0304</w:t>
            </w:r>
          </w:p>
        </w:tc>
        <w:tc>
          <w:tcPr>
            <w:tcW w:w="1134"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0.0191</w:t>
            </w:r>
          </w:p>
        </w:tc>
        <w:tc>
          <w:tcPr>
            <w:tcW w:w="1417"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0.0194</w:t>
            </w:r>
          </w:p>
        </w:tc>
      </w:tr>
      <w:tr w:rsidR="007B6208" w:rsidRPr="007B6208" w:rsidTr="007B6208">
        <w:trPr>
          <w:trHeight w:val="315"/>
        </w:trPr>
        <w:tc>
          <w:tcPr>
            <w:tcW w:w="1433" w:type="dxa"/>
            <w:vMerge/>
            <w:tcBorders>
              <w:top w:val="nil"/>
              <w:left w:val="nil"/>
              <w:bottom w:val="nil"/>
              <w:right w:val="nil"/>
            </w:tcBorders>
            <w:vAlign w:val="center"/>
            <w:hideMark/>
          </w:tcPr>
          <w:p w:rsidR="007B6208" w:rsidRPr="007B6208" w:rsidRDefault="007B6208" w:rsidP="007B6208">
            <w:pPr>
              <w:rPr>
                <w:color w:val="000000"/>
              </w:rPr>
            </w:pP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t</w:t>
            </w: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-3.35</w:t>
            </w:r>
          </w:p>
        </w:tc>
        <w:tc>
          <w:tcPr>
            <w:tcW w:w="1460"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-3.35</w:t>
            </w:r>
          </w:p>
        </w:tc>
        <w:tc>
          <w:tcPr>
            <w:tcW w:w="1134"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0.94</w:t>
            </w:r>
          </w:p>
        </w:tc>
        <w:tc>
          <w:tcPr>
            <w:tcW w:w="1417"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1.02</w:t>
            </w:r>
          </w:p>
        </w:tc>
      </w:tr>
      <w:tr w:rsidR="007B6208" w:rsidRPr="007B6208" w:rsidTr="007B6208">
        <w:trPr>
          <w:trHeight w:val="315"/>
        </w:trPr>
        <w:tc>
          <w:tcPr>
            <w:tcW w:w="1433" w:type="dxa"/>
            <w:vMerge/>
            <w:tcBorders>
              <w:top w:val="nil"/>
              <w:left w:val="nil"/>
              <w:bottom w:val="nil"/>
              <w:right w:val="nil"/>
            </w:tcBorders>
            <w:vAlign w:val="center"/>
            <w:hideMark/>
          </w:tcPr>
          <w:p w:rsidR="007B6208" w:rsidRPr="007B6208" w:rsidRDefault="007B6208" w:rsidP="007B6208">
            <w:pPr>
              <w:rPr>
                <w:color w:val="000000"/>
              </w:rPr>
            </w:pP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bCs/>
                <w:color w:val="000000"/>
              </w:rPr>
              <w:t xml:space="preserve">Domar </w:t>
            </w:r>
            <w:proofErr w:type="spellStart"/>
            <w:r w:rsidRPr="007B6208">
              <w:rPr>
                <w:bCs/>
                <w:color w:val="000000"/>
              </w:rPr>
              <w:t>bias</w:t>
            </w:r>
            <w:proofErr w:type="spellEnd"/>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-2.3%</w:t>
            </w:r>
          </w:p>
        </w:tc>
        <w:tc>
          <w:tcPr>
            <w:tcW w:w="1460"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-2.1%</w:t>
            </w:r>
          </w:p>
        </w:tc>
        <w:tc>
          <w:tcPr>
            <w:tcW w:w="1134"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1.3%</w:t>
            </w:r>
          </w:p>
        </w:tc>
        <w:tc>
          <w:tcPr>
            <w:tcW w:w="1417"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1.3%</w:t>
            </w:r>
          </w:p>
        </w:tc>
      </w:tr>
      <w:tr w:rsidR="007B6208" w:rsidRPr="007B6208" w:rsidTr="007B6208">
        <w:trPr>
          <w:trHeight w:val="315"/>
        </w:trPr>
        <w:tc>
          <w:tcPr>
            <w:tcW w:w="1433" w:type="dxa"/>
            <w:vMerge w:val="restart"/>
            <w:tcBorders>
              <w:top w:val="nil"/>
              <w:left w:val="nil"/>
              <w:bottom w:val="nil"/>
              <w:right w:val="nil"/>
            </w:tcBorders>
            <w:shd w:val="clear" w:color="auto" w:fill="auto"/>
            <w:noWrap/>
            <w:vAlign w:val="bottom"/>
            <w:hideMark/>
          </w:tcPr>
          <w:p w:rsidR="007B6208" w:rsidRPr="0087399A" w:rsidRDefault="007B6208" w:rsidP="007B6208">
            <w:pPr>
              <w:jc w:val="center"/>
              <w:rPr>
                <w:color w:val="000000"/>
              </w:rPr>
            </w:pPr>
            <w:r w:rsidRPr="007B6208">
              <w:rPr>
                <w:color w:val="000000"/>
              </w:rPr>
              <w:t>1998</w:t>
            </w:r>
          </w:p>
          <w:p w:rsidR="007B6208" w:rsidRPr="0087399A" w:rsidRDefault="007B6208" w:rsidP="007B6208">
            <w:pPr>
              <w:jc w:val="center"/>
              <w:rPr>
                <w:color w:val="000000"/>
              </w:rPr>
            </w:pPr>
          </w:p>
          <w:p w:rsidR="007B6208" w:rsidRPr="007B6208" w:rsidRDefault="007B6208" w:rsidP="007B6208">
            <w:pPr>
              <w:jc w:val="center"/>
              <w:rPr>
                <w:color w:val="000000"/>
              </w:rPr>
            </w:pP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Mean</w:t>
            </w: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-0.0347</w:t>
            </w:r>
          </w:p>
        </w:tc>
        <w:tc>
          <w:tcPr>
            <w:tcW w:w="1460"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-0.0355</w:t>
            </w:r>
          </w:p>
        </w:tc>
        <w:tc>
          <w:tcPr>
            <w:tcW w:w="1134"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0.0194</w:t>
            </w:r>
          </w:p>
        </w:tc>
        <w:tc>
          <w:tcPr>
            <w:tcW w:w="1417"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0.0174</w:t>
            </w:r>
          </w:p>
        </w:tc>
      </w:tr>
      <w:tr w:rsidR="007B6208" w:rsidRPr="007B6208" w:rsidTr="007B6208">
        <w:trPr>
          <w:trHeight w:val="315"/>
        </w:trPr>
        <w:tc>
          <w:tcPr>
            <w:tcW w:w="1433" w:type="dxa"/>
            <w:vMerge/>
            <w:tcBorders>
              <w:top w:val="nil"/>
              <w:left w:val="nil"/>
              <w:bottom w:val="nil"/>
              <w:right w:val="nil"/>
            </w:tcBorders>
            <w:vAlign w:val="center"/>
            <w:hideMark/>
          </w:tcPr>
          <w:p w:rsidR="007B6208" w:rsidRPr="007B6208" w:rsidRDefault="007B6208" w:rsidP="007B6208">
            <w:pPr>
              <w:rPr>
                <w:color w:val="000000"/>
              </w:rPr>
            </w:pP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t</w:t>
            </w: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-3.36</w:t>
            </w:r>
          </w:p>
        </w:tc>
        <w:tc>
          <w:tcPr>
            <w:tcW w:w="1460"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-3.34</w:t>
            </w:r>
          </w:p>
        </w:tc>
        <w:tc>
          <w:tcPr>
            <w:tcW w:w="1134"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0.92</w:t>
            </w:r>
          </w:p>
        </w:tc>
        <w:tc>
          <w:tcPr>
            <w:tcW w:w="1417"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0.87</w:t>
            </w:r>
          </w:p>
        </w:tc>
      </w:tr>
      <w:tr w:rsidR="007B6208" w:rsidRPr="007B6208" w:rsidTr="007B6208">
        <w:trPr>
          <w:trHeight w:val="315"/>
        </w:trPr>
        <w:tc>
          <w:tcPr>
            <w:tcW w:w="1433" w:type="dxa"/>
            <w:vMerge/>
            <w:tcBorders>
              <w:top w:val="nil"/>
              <w:left w:val="nil"/>
              <w:bottom w:val="nil"/>
              <w:right w:val="nil"/>
            </w:tcBorders>
            <w:vAlign w:val="center"/>
            <w:hideMark/>
          </w:tcPr>
          <w:p w:rsidR="007B6208" w:rsidRPr="007B6208" w:rsidRDefault="007B6208" w:rsidP="007B6208">
            <w:pPr>
              <w:rPr>
                <w:color w:val="000000"/>
              </w:rPr>
            </w:pP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bCs/>
                <w:color w:val="000000"/>
              </w:rPr>
              <w:t xml:space="preserve">Domar </w:t>
            </w:r>
            <w:proofErr w:type="spellStart"/>
            <w:r w:rsidRPr="007B6208">
              <w:rPr>
                <w:bCs/>
                <w:color w:val="000000"/>
              </w:rPr>
              <w:t>bias</w:t>
            </w:r>
            <w:proofErr w:type="spellEnd"/>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-2.4%</w:t>
            </w:r>
          </w:p>
        </w:tc>
        <w:tc>
          <w:tcPr>
            <w:tcW w:w="1460"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-2.5%</w:t>
            </w:r>
          </w:p>
        </w:tc>
        <w:tc>
          <w:tcPr>
            <w:tcW w:w="1134"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1.3%</w:t>
            </w:r>
          </w:p>
        </w:tc>
        <w:tc>
          <w:tcPr>
            <w:tcW w:w="1417"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1.2%</w:t>
            </w:r>
          </w:p>
        </w:tc>
      </w:tr>
      <w:tr w:rsidR="007B6208" w:rsidRPr="007B6208" w:rsidTr="007B6208">
        <w:trPr>
          <w:trHeight w:val="315"/>
        </w:trPr>
        <w:tc>
          <w:tcPr>
            <w:tcW w:w="1433" w:type="dxa"/>
            <w:vMerge w:val="restart"/>
            <w:tcBorders>
              <w:top w:val="nil"/>
              <w:left w:val="nil"/>
              <w:bottom w:val="nil"/>
              <w:right w:val="nil"/>
            </w:tcBorders>
            <w:shd w:val="clear" w:color="auto" w:fill="auto"/>
            <w:noWrap/>
            <w:vAlign w:val="bottom"/>
            <w:hideMark/>
          </w:tcPr>
          <w:p w:rsidR="007B6208" w:rsidRPr="0087399A" w:rsidRDefault="007B6208" w:rsidP="007B6208">
            <w:pPr>
              <w:jc w:val="center"/>
              <w:rPr>
                <w:color w:val="000000"/>
              </w:rPr>
            </w:pPr>
            <w:r w:rsidRPr="007B6208">
              <w:rPr>
                <w:color w:val="000000"/>
              </w:rPr>
              <w:t>1999</w:t>
            </w:r>
          </w:p>
          <w:p w:rsidR="007B6208" w:rsidRPr="0087399A" w:rsidRDefault="007B6208" w:rsidP="007B6208">
            <w:pPr>
              <w:jc w:val="center"/>
              <w:rPr>
                <w:color w:val="000000"/>
              </w:rPr>
            </w:pPr>
          </w:p>
          <w:p w:rsidR="007B6208" w:rsidRPr="007B6208" w:rsidRDefault="007B6208" w:rsidP="007B6208">
            <w:pPr>
              <w:jc w:val="center"/>
              <w:rPr>
                <w:color w:val="000000"/>
              </w:rPr>
            </w:pP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Mean</w:t>
            </w: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-0.0368</w:t>
            </w:r>
          </w:p>
        </w:tc>
        <w:tc>
          <w:tcPr>
            <w:tcW w:w="1460"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-0.0357</w:t>
            </w:r>
          </w:p>
        </w:tc>
        <w:tc>
          <w:tcPr>
            <w:tcW w:w="1134"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0.0194</w:t>
            </w:r>
          </w:p>
        </w:tc>
        <w:tc>
          <w:tcPr>
            <w:tcW w:w="1417"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0.0185</w:t>
            </w:r>
          </w:p>
        </w:tc>
      </w:tr>
      <w:tr w:rsidR="007B6208" w:rsidRPr="007B6208" w:rsidTr="007B6208">
        <w:trPr>
          <w:trHeight w:val="315"/>
        </w:trPr>
        <w:tc>
          <w:tcPr>
            <w:tcW w:w="1433" w:type="dxa"/>
            <w:vMerge/>
            <w:tcBorders>
              <w:top w:val="nil"/>
              <w:left w:val="nil"/>
              <w:bottom w:val="nil"/>
              <w:right w:val="nil"/>
            </w:tcBorders>
            <w:vAlign w:val="center"/>
            <w:hideMark/>
          </w:tcPr>
          <w:p w:rsidR="007B6208" w:rsidRPr="007B6208" w:rsidRDefault="007B6208" w:rsidP="007B6208">
            <w:pPr>
              <w:rPr>
                <w:color w:val="000000"/>
              </w:rPr>
            </w:pP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t</w:t>
            </w: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-3.42</w:t>
            </w:r>
          </w:p>
        </w:tc>
        <w:tc>
          <w:tcPr>
            <w:tcW w:w="1460"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-3.21</w:t>
            </w:r>
          </w:p>
        </w:tc>
        <w:tc>
          <w:tcPr>
            <w:tcW w:w="1134"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0.92</w:t>
            </w:r>
          </w:p>
        </w:tc>
        <w:tc>
          <w:tcPr>
            <w:tcW w:w="1417"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0.94</w:t>
            </w:r>
          </w:p>
        </w:tc>
      </w:tr>
      <w:tr w:rsidR="007B6208" w:rsidRPr="007B6208" w:rsidTr="007B6208">
        <w:trPr>
          <w:trHeight w:val="315"/>
        </w:trPr>
        <w:tc>
          <w:tcPr>
            <w:tcW w:w="1433" w:type="dxa"/>
            <w:vMerge/>
            <w:tcBorders>
              <w:top w:val="nil"/>
              <w:left w:val="nil"/>
              <w:bottom w:val="nil"/>
              <w:right w:val="nil"/>
            </w:tcBorders>
            <w:vAlign w:val="center"/>
            <w:hideMark/>
          </w:tcPr>
          <w:p w:rsidR="007B6208" w:rsidRPr="007B6208" w:rsidRDefault="007B6208" w:rsidP="007B6208">
            <w:pPr>
              <w:rPr>
                <w:color w:val="000000"/>
              </w:rPr>
            </w:pPr>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bCs/>
                <w:color w:val="000000"/>
              </w:rPr>
              <w:t xml:space="preserve">Domar </w:t>
            </w:r>
            <w:proofErr w:type="spellStart"/>
            <w:r w:rsidRPr="007B6208">
              <w:rPr>
                <w:bCs/>
                <w:color w:val="000000"/>
              </w:rPr>
              <w:t>bias</w:t>
            </w:r>
            <w:proofErr w:type="spellEnd"/>
          </w:p>
        </w:tc>
        <w:tc>
          <w:tcPr>
            <w:tcW w:w="1559"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-2.6%</w:t>
            </w:r>
          </w:p>
        </w:tc>
        <w:tc>
          <w:tcPr>
            <w:tcW w:w="1460"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-2.5%</w:t>
            </w:r>
          </w:p>
        </w:tc>
        <w:tc>
          <w:tcPr>
            <w:tcW w:w="1134"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1.3%</w:t>
            </w:r>
          </w:p>
        </w:tc>
        <w:tc>
          <w:tcPr>
            <w:tcW w:w="1417" w:type="dxa"/>
            <w:tcBorders>
              <w:top w:val="nil"/>
              <w:left w:val="nil"/>
              <w:bottom w:val="nil"/>
              <w:right w:val="nil"/>
            </w:tcBorders>
            <w:shd w:val="clear" w:color="auto" w:fill="auto"/>
            <w:noWrap/>
            <w:vAlign w:val="bottom"/>
            <w:hideMark/>
          </w:tcPr>
          <w:p w:rsidR="007B6208" w:rsidRPr="007B6208" w:rsidRDefault="007B6208" w:rsidP="007B6208">
            <w:pPr>
              <w:jc w:val="center"/>
              <w:rPr>
                <w:color w:val="000000"/>
              </w:rPr>
            </w:pPr>
            <w:r w:rsidRPr="007B6208">
              <w:rPr>
                <w:color w:val="000000"/>
              </w:rPr>
              <w:t>1.3%</w:t>
            </w:r>
          </w:p>
        </w:tc>
      </w:tr>
    </w:tbl>
    <w:p w:rsidR="006F24E2" w:rsidRPr="0087399A" w:rsidRDefault="006F24E2" w:rsidP="006F24E2">
      <w:pPr>
        <w:spacing w:before="120" w:after="120" w:line="360" w:lineRule="auto"/>
        <w:jc w:val="both"/>
        <w:rPr>
          <w:lang w:val="en-GB"/>
        </w:rPr>
      </w:pPr>
    </w:p>
    <w:p w:rsidR="006F24E2" w:rsidRDefault="006F24E2" w:rsidP="006F24E2">
      <w:pPr>
        <w:spacing w:before="120" w:after="120" w:line="360" w:lineRule="auto"/>
        <w:jc w:val="both"/>
        <w:rPr>
          <w:lang w:val="en-GB"/>
        </w:rPr>
      </w:pPr>
    </w:p>
    <w:p w:rsidR="0087399A" w:rsidRPr="00491AD6" w:rsidRDefault="0087399A" w:rsidP="0087399A">
      <w:pPr>
        <w:pStyle w:val="ICABRPictures-Tables"/>
        <w:rPr>
          <w:rFonts w:ascii="Times New Roman" w:hAnsi="Times New Roman"/>
          <w:sz w:val="24"/>
          <w:szCs w:val="24"/>
        </w:rPr>
      </w:pPr>
      <w:r w:rsidRPr="00491AD6">
        <w:rPr>
          <w:rFonts w:ascii="Times New Roman" w:hAnsi="Times New Roman"/>
          <w:sz w:val="24"/>
          <w:szCs w:val="24"/>
        </w:rPr>
        <w:lastRenderedPageBreak/>
        <w:t>Tab</w:t>
      </w:r>
      <w:r>
        <w:rPr>
          <w:rFonts w:ascii="Times New Roman" w:hAnsi="Times New Roman"/>
          <w:sz w:val="24"/>
          <w:szCs w:val="24"/>
        </w:rPr>
        <w:t>le</w:t>
      </w:r>
      <w:r w:rsidRPr="00491AD6">
        <w:rPr>
          <w:rFonts w:ascii="Times New Roman" w:hAnsi="Times New Roman"/>
          <w:sz w:val="24"/>
          <w:szCs w:val="24"/>
        </w:rPr>
        <w:t> </w:t>
      </w:r>
      <w:r>
        <w:rPr>
          <w:rFonts w:ascii="Times New Roman" w:hAnsi="Times New Roman"/>
          <w:sz w:val="24"/>
          <w:szCs w:val="24"/>
        </w:rPr>
        <w:t xml:space="preserve">3b. </w:t>
      </w:r>
      <w:proofErr w:type="spellStart"/>
      <w:r w:rsidRPr="00491AD6">
        <w:rPr>
          <w:rFonts w:ascii="Times New Roman" w:hAnsi="Times New Roman"/>
          <w:sz w:val="24"/>
          <w:szCs w:val="24"/>
        </w:rPr>
        <w:t>Domar</w:t>
      </w:r>
      <w:proofErr w:type="spellEnd"/>
      <w:r w:rsidRPr="00491AD6">
        <w:rPr>
          <w:rFonts w:ascii="Times New Roman" w:hAnsi="Times New Roman"/>
          <w:sz w:val="24"/>
          <w:szCs w:val="24"/>
        </w:rPr>
        <w:t xml:space="preserve"> Factor versus </w:t>
      </w:r>
      <w:r>
        <w:rPr>
          <w:rFonts w:ascii="Times New Roman" w:hAnsi="Times New Roman"/>
          <w:sz w:val="24"/>
          <w:szCs w:val="24"/>
        </w:rPr>
        <w:t>Region</w:t>
      </w:r>
      <w:r w:rsidRPr="00491AD6">
        <w:rPr>
          <w:rFonts w:ascii="Times New Roman" w:hAnsi="Times New Roman"/>
          <w:sz w:val="24"/>
          <w:szCs w:val="24"/>
        </w:rPr>
        <w:t xml:space="preserve"> Size</w:t>
      </w:r>
      <w:r>
        <w:rPr>
          <w:rFonts w:ascii="Times New Roman" w:hAnsi="Times New Roman"/>
          <w:sz w:val="24"/>
          <w:szCs w:val="24"/>
        </w:rPr>
        <w:t>, by Year 2000-2007</w:t>
      </w:r>
      <w:r w:rsidRPr="00491AD6">
        <w:rPr>
          <w:rFonts w:ascii="Times New Roman" w:hAnsi="Times New Roman"/>
          <w:sz w:val="24"/>
          <w:szCs w:val="24"/>
        </w:rPr>
        <w:t>. t-Tests.</w:t>
      </w:r>
    </w:p>
    <w:tbl>
      <w:tblPr>
        <w:tblW w:w="8562" w:type="dxa"/>
        <w:tblInd w:w="55" w:type="dxa"/>
        <w:tblCellMar>
          <w:left w:w="70" w:type="dxa"/>
          <w:right w:w="70" w:type="dxa"/>
        </w:tblCellMar>
        <w:tblLook w:val="04A0"/>
      </w:tblPr>
      <w:tblGrid>
        <w:gridCol w:w="1433"/>
        <w:gridCol w:w="1559"/>
        <w:gridCol w:w="1559"/>
        <w:gridCol w:w="1460"/>
        <w:gridCol w:w="1134"/>
        <w:gridCol w:w="1417"/>
      </w:tblGrid>
      <w:tr w:rsidR="0087399A" w:rsidRPr="007B6208" w:rsidTr="0087399A">
        <w:trPr>
          <w:trHeight w:val="315"/>
        </w:trPr>
        <w:tc>
          <w:tcPr>
            <w:tcW w:w="1433" w:type="dxa"/>
            <w:tcBorders>
              <w:top w:val="nil"/>
              <w:left w:val="nil"/>
              <w:bottom w:val="nil"/>
              <w:right w:val="nil"/>
            </w:tcBorders>
            <w:shd w:val="clear" w:color="auto" w:fill="auto"/>
            <w:noWrap/>
            <w:vAlign w:val="bottom"/>
            <w:hideMark/>
          </w:tcPr>
          <w:p w:rsidR="0087399A" w:rsidRPr="007B6208" w:rsidRDefault="0087399A" w:rsidP="0087399A">
            <w:pPr>
              <w:jc w:val="center"/>
              <w:rPr>
                <w:b/>
                <w:bCs/>
                <w:color w:val="000000"/>
              </w:rPr>
            </w:pPr>
            <w:proofErr w:type="spellStart"/>
            <w:r w:rsidRPr="007B6208">
              <w:rPr>
                <w:b/>
                <w:bCs/>
                <w:color w:val="000000"/>
              </w:rPr>
              <w:t>Year</w:t>
            </w:r>
            <w:proofErr w:type="spellEnd"/>
          </w:p>
        </w:tc>
        <w:tc>
          <w:tcPr>
            <w:tcW w:w="1559" w:type="dxa"/>
            <w:tcBorders>
              <w:top w:val="nil"/>
              <w:left w:val="nil"/>
              <w:bottom w:val="nil"/>
              <w:right w:val="nil"/>
            </w:tcBorders>
            <w:shd w:val="clear" w:color="auto" w:fill="auto"/>
            <w:noWrap/>
            <w:vAlign w:val="bottom"/>
            <w:hideMark/>
          </w:tcPr>
          <w:p w:rsidR="0087399A" w:rsidRPr="007B6208" w:rsidRDefault="0087399A" w:rsidP="0087399A">
            <w:pPr>
              <w:jc w:val="center"/>
              <w:rPr>
                <w:color w:val="000000"/>
              </w:rPr>
            </w:pPr>
          </w:p>
        </w:tc>
        <w:tc>
          <w:tcPr>
            <w:tcW w:w="1559" w:type="dxa"/>
            <w:tcBorders>
              <w:top w:val="nil"/>
              <w:left w:val="nil"/>
              <w:bottom w:val="nil"/>
              <w:right w:val="nil"/>
            </w:tcBorders>
            <w:shd w:val="clear" w:color="auto" w:fill="auto"/>
            <w:noWrap/>
            <w:vAlign w:val="bottom"/>
            <w:hideMark/>
          </w:tcPr>
          <w:p w:rsidR="0087399A" w:rsidRPr="007B6208" w:rsidRDefault="0087399A" w:rsidP="0087399A">
            <w:pPr>
              <w:jc w:val="center"/>
              <w:rPr>
                <w:b/>
                <w:bCs/>
                <w:color w:val="000000"/>
              </w:rPr>
            </w:pPr>
            <w:proofErr w:type="spellStart"/>
            <w:r w:rsidRPr="007B6208">
              <w:rPr>
                <w:b/>
                <w:bCs/>
                <w:color w:val="000000"/>
              </w:rPr>
              <w:t>Population</w:t>
            </w:r>
            <w:proofErr w:type="spellEnd"/>
          </w:p>
        </w:tc>
        <w:tc>
          <w:tcPr>
            <w:tcW w:w="1460" w:type="dxa"/>
            <w:tcBorders>
              <w:top w:val="nil"/>
              <w:left w:val="nil"/>
              <w:bottom w:val="nil"/>
              <w:right w:val="nil"/>
            </w:tcBorders>
            <w:shd w:val="clear" w:color="auto" w:fill="auto"/>
            <w:noWrap/>
            <w:vAlign w:val="bottom"/>
            <w:hideMark/>
          </w:tcPr>
          <w:p w:rsidR="0087399A" w:rsidRPr="007B6208" w:rsidRDefault="0087399A" w:rsidP="0087399A">
            <w:pPr>
              <w:jc w:val="center"/>
              <w:rPr>
                <w:b/>
                <w:bCs/>
                <w:color w:val="000000"/>
              </w:rPr>
            </w:pPr>
            <w:proofErr w:type="spellStart"/>
            <w:r w:rsidRPr="007B6208">
              <w:rPr>
                <w:b/>
                <w:bCs/>
                <w:color w:val="000000"/>
              </w:rPr>
              <w:t>Employment</w:t>
            </w:r>
            <w:proofErr w:type="spellEnd"/>
          </w:p>
        </w:tc>
        <w:tc>
          <w:tcPr>
            <w:tcW w:w="1134" w:type="dxa"/>
            <w:tcBorders>
              <w:top w:val="nil"/>
              <w:left w:val="nil"/>
              <w:bottom w:val="nil"/>
              <w:right w:val="nil"/>
            </w:tcBorders>
            <w:shd w:val="clear" w:color="auto" w:fill="auto"/>
            <w:noWrap/>
            <w:vAlign w:val="bottom"/>
            <w:hideMark/>
          </w:tcPr>
          <w:p w:rsidR="0087399A" w:rsidRPr="007B6208" w:rsidRDefault="0087399A" w:rsidP="0087399A">
            <w:pPr>
              <w:jc w:val="center"/>
              <w:rPr>
                <w:b/>
                <w:bCs/>
                <w:color w:val="000000"/>
              </w:rPr>
            </w:pPr>
            <w:r w:rsidRPr="007B6208">
              <w:rPr>
                <w:b/>
                <w:bCs/>
                <w:color w:val="000000"/>
              </w:rPr>
              <w:t xml:space="preserve">Pop. </w:t>
            </w:r>
            <w:proofErr w:type="spellStart"/>
            <w:r w:rsidRPr="007B6208">
              <w:rPr>
                <w:b/>
                <w:bCs/>
                <w:color w:val="000000"/>
              </w:rPr>
              <w:t>density</w:t>
            </w:r>
            <w:proofErr w:type="spellEnd"/>
          </w:p>
        </w:tc>
        <w:tc>
          <w:tcPr>
            <w:tcW w:w="1417" w:type="dxa"/>
            <w:tcBorders>
              <w:top w:val="nil"/>
              <w:left w:val="nil"/>
              <w:bottom w:val="nil"/>
              <w:right w:val="nil"/>
            </w:tcBorders>
            <w:shd w:val="clear" w:color="auto" w:fill="auto"/>
            <w:noWrap/>
            <w:vAlign w:val="bottom"/>
            <w:hideMark/>
          </w:tcPr>
          <w:p w:rsidR="0087399A" w:rsidRPr="007B6208" w:rsidRDefault="0087399A" w:rsidP="0087399A">
            <w:pPr>
              <w:jc w:val="center"/>
              <w:rPr>
                <w:b/>
                <w:bCs/>
                <w:color w:val="000000"/>
              </w:rPr>
            </w:pPr>
            <w:proofErr w:type="spellStart"/>
            <w:r w:rsidRPr="007B6208">
              <w:rPr>
                <w:b/>
                <w:bCs/>
                <w:color w:val="000000"/>
              </w:rPr>
              <w:t>Empl</w:t>
            </w:r>
            <w:proofErr w:type="spellEnd"/>
            <w:r w:rsidRPr="007B6208">
              <w:rPr>
                <w:b/>
                <w:bCs/>
                <w:color w:val="000000"/>
              </w:rPr>
              <w:t xml:space="preserve">. </w:t>
            </w:r>
            <w:proofErr w:type="spellStart"/>
            <w:r w:rsidRPr="007B6208">
              <w:rPr>
                <w:b/>
                <w:bCs/>
                <w:color w:val="000000"/>
              </w:rPr>
              <w:t>density</w:t>
            </w:r>
            <w:proofErr w:type="spellEnd"/>
          </w:p>
        </w:tc>
      </w:tr>
      <w:tr w:rsidR="0087399A" w:rsidRPr="007B6208" w:rsidTr="0087399A">
        <w:trPr>
          <w:trHeight w:val="315"/>
        </w:trPr>
        <w:tc>
          <w:tcPr>
            <w:tcW w:w="1433" w:type="dxa"/>
            <w:vMerge w:val="restart"/>
            <w:tcBorders>
              <w:top w:val="nil"/>
              <w:left w:val="nil"/>
              <w:bottom w:val="nil"/>
              <w:right w:val="nil"/>
            </w:tcBorders>
            <w:shd w:val="clear" w:color="auto" w:fill="auto"/>
            <w:noWrap/>
            <w:vAlign w:val="bottom"/>
            <w:hideMark/>
          </w:tcPr>
          <w:p w:rsidR="0087399A" w:rsidRPr="0087399A" w:rsidRDefault="0087399A" w:rsidP="0087399A">
            <w:pPr>
              <w:jc w:val="center"/>
              <w:rPr>
                <w:color w:val="000000"/>
              </w:rPr>
            </w:pPr>
            <w:r>
              <w:rPr>
                <w:color w:val="000000"/>
              </w:rPr>
              <w:t>2000</w:t>
            </w:r>
          </w:p>
          <w:p w:rsidR="0087399A" w:rsidRPr="0087399A" w:rsidRDefault="0087399A" w:rsidP="0087399A">
            <w:pPr>
              <w:jc w:val="center"/>
              <w:rPr>
                <w:color w:val="000000"/>
              </w:rPr>
            </w:pPr>
          </w:p>
          <w:p w:rsidR="0087399A" w:rsidRPr="007B6208" w:rsidRDefault="0087399A" w:rsidP="0087399A">
            <w:pPr>
              <w:jc w:val="center"/>
              <w:rPr>
                <w:color w:val="000000"/>
              </w:rPr>
            </w:pPr>
          </w:p>
        </w:tc>
        <w:tc>
          <w:tcPr>
            <w:tcW w:w="1559" w:type="dxa"/>
            <w:tcBorders>
              <w:top w:val="nil"/>
              <w:left w:val="nil"/>
              <w:bottom w:val="nil"/>
              <w:right w:val="nil"/>
            </w:tcBorders>
            <w:shd w:val="clear" w:color="auto" w:fill="auto"/>
            <w:noWrap/>
            <w:vAlign w:val="bottom"/>
            <w:hideMark/>
          </w:tcPr>
          <w:p w:rsidR="0087399A" w:rsidRPr="007B6208" w:rsidRDefault="0087399A" w:rsidP="0087399A">
            <w:pPr>
              <w:jc w:val="center"/>
              <w:rPr>
                <w:color w:val="000000"/>
              </w:rPr>
            </w:pPr>
            <w:r w:rsidRPr="007B6208">
              <w:rPr>
                <w:color w:val="000000"/>
              </w:rPr>
              <w:t>Mean</w:t>
            </w:r>
          </w:p>
        </w:tc>
        <w:tc>
          <w:tcPr>
            <w:tcW w:w="1559"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-0.0377</w:t>
            </w:r>
          </w:p>
        </w:tc>
        <w:tc>
          <w:tcPr>
            <w:tcW w:w="1460"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-0.0397</w:t>
            </w:r>
          </w:p>
        </w:tc>
        <w:tc>
          <w:tcPr>
            <w:tcW w:w="1134"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0.0265</w:t>
            </w:r>
          </w:p>
        </w:tc>
        <w:tc>
          <w:tcPr>
            <w:tcW w:w="1417"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0.0222</w:t>
            </w:r>
          </w:p>
        </w:tc>
      </w:tr>
      <w:tr w:rsidR="0087399A" w:rsidRPr="007B6208" w:rsidTr="0087399A">
        <w:trPr>
          <w:trHeight w:val="315"/>
        </w:trPr>
        <w:tc>
          <w:tcPr>
            <w:tcW w:w="1433" w:type="dxa"/>
            <w:vMerge/>
            <w:tcBorders>
              <w:top w:val="nil"/>
              <w:left w:val="nil"/>
              <w:bottom w:val="nil"/>
              <w:right w:val="nil"/>
            </w:tcBorders>
            <w:vAlign w:val="center"/>
            <w:hideMark/>
          </w:tcPr>
          <w:p w:rsidR="0087399A" w:rsidRPr="007B6208" w:rsidRDefault="0087399A" w:rsidP="0087399A">
            <w:pPr>
              <w:rPr>
                <w:color w:val="000000"/>
              </w:rPr>
            </w:pPr>
          </w:p>
        </w:tc>
        <w:tc>
          <w:tcPr>
            <w:tcW w:w="1559" w:type="dxa"/>
            <w:tcBorders>
              <w:top w:val="nil"/>
              <w:left w:val="nil"/>
              <w:bottom w:val="nil"/>
              <w:right w:val="nil"/>
            </w:tcBorders>
            <w:shd w:val="clear" w:color="auto" w:fill="auto"/>
            <w:noWrap/>
            <w:vAlign w:val="bottom"/>
            <w:hideMark/>
          </w:tcPr>
          <w:p w:rsidR="0087399A" w:rsidRPr="007B6208" w:rsidRDefault="0087399A" w:rsidP="0087399A">
            <w:pPr>
              <w:jc w:val="center"/>
              <w:rPr>
                <w:color w:val="000000"/>
              </w:rPr>
            </w:pPr>
            <w:r w:rsidRPr="007B6208">
              <w:rPr>
                <w:color w:val="000000"/>
              </w:rPr>
              <w:t>t</w:t>
            </w:r>
          </w:p>
        </w:tc>
        <w:tc>
          <w:tcPr>
            <w:tcW w:w="1559"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-4.21</w:t>
            </w:r>
          </w:p>
        </w:tc>
        <w:tc>
          <w:tcPr>
            <w:tcW w:w="1460"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-4.41</w:t>
            </w:r>
          </w:p>
        </w:tc>
        <w:tc>
          <w:tcPr>
            <w:tcW w:w="1134"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1.51</w:t>
            </w:r>
          </w:p>
        </w:tc>
        <w:tc>
          <w:tcPr>
            <w:tcW w:w="1417"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1.36</w:t>
            </w:r>
          </w:p>
        </w:tc>
      </w:tr>
      <w:tr w:rsidR="0087399A" w:rsidRPr="007B6208" w:rsidTr="0087399A">
        <w:trPr>
          <w:trHeight w:val="315"/>
        </w:trPr>
        <w:tc>
          <w:tcPr>
            <w:tcW w:w="1433" w:type="dxa"/>
            <w:vMerge/>
            <w:tcBorders>
              <w:top w:val="nil"/>
              <w:left w:val="nil"/>
              <w:bottom w:val="nil"/>
              <w:right w:val="nil"/>
            </w:tcBorders>
            <w:vAlign w:val="center"/>
            <w:hideMark/>
          </w:tcPr>
          <w:p w:rsidR="0087399A" w:rsidRPr="007B6208" w:rsidRDefault="0087399A" w:rsidP="0087399A">
            <w:pPr>
              <w:rPr>
                <w:color w:val="000000"/>
              </w:rPr>
            </w:pPr>
          </w:p>
        </w:tc>
        <w:tc>
          <w:tcPr>
            <w:tcW w:w="1559" w:type="dxa"/>
            <w:tcBorders>
              <w:top w:val="nil"/>
              <w:left w:val="nil"/>
              <w:bottom w:val="nil"/>
              <w:right w:val="nil"/>
            </w:tcBorders>
            <w:shd w:val="clear" w:color="auto" w:fill="auto"/>
            <w:noWrap/>
            <w:vAlign w:val="bottom"/>
            <w:hideMark/>
          </w:tcPr>
          <w:p w:rsidR="0087399A" w:rsidRPr="007B6208" w:rsidRDefault="0087399A" w:rsidP="0087399A">
            <w:pPr>
              <w:jc w:val="center"/>
              <w:rPr>
                <w:color w:val="000000"/>
              </w:rPr>
            </w:pPr>
            <w:r w:rsidRPr="007B6208">
              <w:rPr>
                <w:bCs/>
                <w:color w:val="000000"/>
              </w:rPr>
              <w:t xml:space="preserve">Domar </w:t>
            </w:r>
            <w:proofErr w:type="spellStart"/>
            <w:r w:rsidRPr="007B6208">
              <w:rPr>
                <w:bCs/>
                <w:color w:val="000000"/>
              </w:rPr>
              <w:t>bias</w:t>
            </w:r>
            <w:proofErr w:type="spellEnd"/>
          </w:p>
        </w:tc>
        <w:tc>
          <w:tcPr>
            <w:tcW w:w="1559"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-2.6%</w:t>
            </w:r>
          </w:p>
        </w:tc>
        <w:tc>
          <w:tcPr>
            <w:tcW w:w="1460"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-2.7%</w:t>
            </w:r>
          </w:p>
        </w:tc>
        <w:tc>
          <w:tcPr>
            <w:tcW w:w="1134"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1.8%</w:t>
            </w:r>
          </w:p>
        </w:tc>
        <w:tc>
          <w:tcPr>
            <w:tcW w:w="1417"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1.5%</w:t>
            </w:r>
          </w:p>
        </w:tc>
      </w:tr>
      <w:tr w:rsidR="0087399A" w:rsidRPr="007B6208" w:rsidTr="0087399A">
        <w:trPr>
          <w:trHeight w:val="315"/>
        </w:trPr>
        <w:tc>
          <w:tcPr>
            <w:tcW w:w="1433" w:type="dxa"/>
            <w:vMerge w:val="restart"/>
            <w:tcBorders>
              <w:top w:val="nil"/>
              <w:left w:val="nil"/>
              <w:bottom w:val="nil"/>
              <w:right w:val="nil"/>
            </w:tcBorders>
            <w:shd w:val="clear" w:color="auto" w:fill="auto"/>
            <w:noWrap/>
            <w:vAlign w:val="bottom"/>
            <w:hideMark/>
          </w:tcPr>
          <w:p w:rsidR="0087399A" w:rsidRPr="0087399A" w:rsidRDefault="0087399A" w:rsidP="0087399A">
            <w:pPr>
              <w:jc w:val="center"/>
              <w:rPr>
                <w:color w:val="000000"/>
              </w:rPr>
            </w:pPr>
            <w:r>
              <w:rPr>
                <w:color w:val="000000"/>
              </w:rPr>
              <w:t>2001</w:t>
            </w:r>
          </w:p>
          <w:p w:rsidR="0087399A" w:rsidRPr="0087399A" w:rsidRDefault="0087399A" w:rsidP="0087399A">
            <w:pPr>
              <w:jc w:val="center"/>
              <w:rPr>
                <w:color w:val="000000"/>
              </w:rPr>
            </w:pPr>
          </w:p>
          <w:p w:rsidR="0087399A" w:rsidRPr="007B6208" w:rsidRDefault="0087399A" w:rsidP="0087399A">
            <w:pPr>
              <w:jc w:val="center"/>
              <w:rPr>
                <w:color w:val="000000"/>
              </w:rPr>
            </w:pPr>
          </w:p>
        </w:tc>
        <w:tc>
          <w:tcPr>
            <w:tcW w:w="1559" w:type="dxa"/>
            <w:tcBorders>
              <w:top w:val="nil"/>
              <w:left w:val="nil"/>
              <w:bottom w:val="nil"/>
              <w:right w:val="nil"/>
            </w:tcBorders>
            <w:shd w:val="clear" w:color="auto" w:fill="auto"/>
            <w:noWrap/>
            <w:vAlign w:val="bottom"/>
            <w:hideMark/>
          </w:tcPr>
          <w:p w:rsidR="0087399A" w:rsidRPr="007B6208" w:rsidRDefault="0087399A" w:rsidP="0087399A">
            <w:pPr>
              <w:jc w:val="center"/>
              <w:rPr>
                <w:color w:val="000000"/>
              </w:rPr>
            </w:pPr>
            <w:r w:rsidRPr="007B6208">
              <w:rPr>
                <w:color w:val="000000"/>
              </w:rPr>
              <w:t>Mean</w:t>
            </w:r>
          </w:p>
        </w:tc>
        <w:tc>
          <w:tcPr>
            <w:tcW w:w="1559"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-0.0427</w:t>
            </w:r>
          </w:p>
        </w:tc>
        <w:tc>
          <w:tcPr>
            <w:tcW w:w="1460"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-0.0415</w:t>
            </w:r>
          </w:p>
        </w:tc>
        <w:tc>
          <w:tcPr>
            <w:tcW w:w="1134"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0.0380</w:t>
            </w:r>
          </w:p>
        </w:tc>
        <w:tc>
          <w:tcPr>
            <w:tcW w:w="1417"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0.0350</w:t>
            </w:r>
          </w:p>
        </w:tc>
      </w:tr>
      <w:tr w:rsidR="0087399A" w:rsidRPr="007B6208" w:rsidTr="0087399A">
        <w:trPr>
          <w:trHeight w:val="315"/>
        </w:trPr>
        <w:tc>
          <w:tcPr>
            <w:tcW w:w="1433" w:type="dxa"/>
            <w:vMerge/>
            <w:tcBorders>
              <w:top w:val="nil"/>
              <w:left w:val="nil"/>
              <w:bottom w:val="nil"/>
              <w:right w:val="nil"/>
            </w:tcBorders>
            <w:vAlign w:val="center"/>
            <w:hideMark/>
          </w:tcPr>
          <w:p w:rsidR="0087399A" w:rsidRPr="007B6208" w:rsidRDefault="0087399A" w:rsidP="0087399A">
            <w:pPr>
              <w:rPr>
                <w:color w:val="000000"/>
              </w:rPr>
            </w:pPr>
          </w:p>
        </w:tc>
        <w:tc>
          <w:tcPr>
            <w:tcW w:w="1559" w:type="dxa"/>
            <w:tcBorders>
              <w:top w:val="nil"/>
              <w:left w:val="nil"/>
              <w:bottom w:val="nil"/>
              <w:right w:val="nil"/>
            </w:tcBorders>
            <w:shd w:val="clear" w:color="auto" w:fill="auto"/>
            <w:noWrap/>
            <w:vAlign w:val="bottom"/>
            <w:hideMark/>
          </w:tcPr>
          <w:p w:rsidR="0087399A" w:rsidRPr="007B6208" w:rsidRDefault="0087399A" w:rsidP="0087399A">
            <w:pPr>
              <w:jc w:val="center"/>
              <w:rPr>
                <w:color w:val="000000"/>
              </w:rPr>
            </w:pPr>
            <w:r w:rsidRPr="007B6208">
              <w:rPr>
                <w:color w:val="000000"/>
              </w:rPr>
              <w:t>t</w:t>
            </w:r>
          </w:p>
        </w:tc>
        <w:tc>
          <w:tcPr>
            <w:tcW w:w="1559"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-4.43</w:t>
            </w:r>
          </w:p>
        </w:tc>
        <w:tc>
          <w:tcPr>
            <w:tcW w:w="1460"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-4.15</w:t>
            </w:r>
          </w:p>
        </w:tc>
        <w:tc>
          <w:tcPr>
            <w:tcW w:w="1134"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2.45</w:t>
            </w:r>
          </w:p>
        </w:tc>
        <w:tc>
          <w:tcPr>
            <w:tcW w:w="1417"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2.45</w:t>
            </w:r>
          </w:p>
        </w:tc>
      </w:tr>
      <w:tr w:rsidR="0087399A" w:rsidRPr="007B6208" w:rsidTr="0087399A">
        <w:trPr>
          <w:trHeight w:val="315"/>
        </w:trPr>
        <w:tc>
          <w:tcPr>
            <w:tcW w:w="1433" w:type="dxa"/>
            <w:vMerge/>
            <w:tcBorders>
              <w:top w:val="nil"/>
              <w:left w:val="nil"/>
              <w:bottom w:val="nil"/>
              <w:right w:val="nil"/>
            </w:tcBorders>
            <w:vAlign w:val="center"/>
            <w:hideMark/>
          </w:tcPr>
          <w:p w:rsidR="0087399A" w:rsidRPr="007B6208" w:rsidRDefault="0087399A" w:rsidP="0087399A">
            <w:pPr>
              <w:rPr>
                <w:color w:val="000000"/>
              </w:rPr>
            </w:pPr>
          </w:p>
        </w:tc>
        <w:tc>
          <w:tcPr>
            <w:tcW w:w="1559" w:type="dxa"/>
            <w:tcBorders>
              <w:top w:val="nil"/>
              <w:left w:val="nil"/>
              <w:bottom w:val="nil"/>
              <w:right w:val="nil"/>
            </w:tcBorders>
            <w:shd w:val="clear" w:color="auto" w:fill="auto"/>
            <w:noWrap/>
            <w:vAlign w:val="bottom"/>
            <w:hideMark/>
          </w:tcPr>
          <w:p w:rsidR="0087399A" w:rsidRPr="007B6208" w:rsidRDefault="0087399A" w:rsidP="0087399A">
            <w:pPr>
              <w:jc w:val="center"/>
              <w:rPr>
                <w:color w:val="000000"/>
              </w:rPr>
            </w:pPr>
            <w:r w:rsidRPr="007B6208">
              <w:rPr>
                <w:bCs/>
                <w:color w:val="000000"/>
              </w:rPr>
              <w:t xml:space="preserve">Domar </w:t>
            </w:r>
            <w:proofErr w:type="spellStart"/>
            <w:r w:rsidRPr="007B6208">
              <w:rPr>
                <w:bCs/>
                <w:color w:val="000000"/>
              </w:rPr>
              <w:t>bias</w:t>
            </w:r>
            <w:proofErr w:type="spellEnd"/>
          </w:p>
        </w:tc>
        <w:tc>
          <w:tcPr>
            <w:tcW w:w="1559"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-3.0%</w:t>
            </w:r>
          </w:p>
        </w:tc>
        <w:tc>
          <w:tcPr>
            <w:tcW w:w="1460"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-2.9%</w:t>
            </w:r>
          </w:p>
        </w:tc>
        <w:tc>
          <w:tcPr>
            <w:tcW w:w="1134"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2.6%</w:t>
            </w:r>
          </w:p>
        </w:tc>
        <w:tc>
          <w:tcPr>
            <w:tcW w:w="1417"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2.4%</w:t>
            </w:r>
          </w:p>
        </w:tc>
      </w:tr>
      <w:tr w:rsidR="0087399A" w:rsidRPr="0087399A" w:rsidTr="0087399A">
        <w:trPr>
          <w:trHeight w:val="315"/>
        </w:trPr>
        <w:tc>
          <w:tcPr>
            <w:tcW w:w="1433" w:type="dxa"/>
            <w:tcBorders>
              <w:top w:val="nil"/>
              <w:left w:val="nil"/>
              <w:bottom w:val="nil"/>
              <w:right w:val="nil"/>
            </w:tcBorders>
            <w:vAlign w:val="bottom"/>
            <w:hideMark/>
          </w:tcPr>
          <w:p w:rsidR="0087399A" w:rsidRPr="007B6208" w:rsidRDefault="0087399A" w:rsidP="0087399A">
            <w:pPr>
              <w:jc w:val="center"/>
              <w:rPr>
                <w:color w:val="000000"/>
              </w:rPr>
            </w:pPr>
            <w:r>
              <w:rPr>
                <w:color w:val="000000"/>
              </w:rPr>
              <w:t>2002</w:t>
            </w:r>
          </w:p>
        </w:tc>
        <w:tc>
          <w:tcPr>
            <w:tcW w:w="1559" w:type="dxa"/>
            <w:tcBorders>
              <w:top w:val="nil"/>
              <w:left w:val="nil"/>
              <w:bottom w:val="nil"/>
              <w:right w:val="nil"/>
            </w:tcBorders>
            <w:shd w:val="clear" w:color="auto" w:fill="auto"/>
            <w:noWrap/>
            <w:vAlign w:val="bottom"/>
            <w:hideMark/>
          </w:tcPr>
          <w:p w:rsidR="0087399A" w:rsidRPr="007B6208" w:rsidRDefault="0087399A" w:rsidP="0087399A">
            <w:pPr>
              <w:jc w:val="center"/>
              <w:rPr>
                <w:color w:val="000000"/>
              </w:rPr>
            </w:pPr>
            <w:r w:rsidRPr="007B6208">
              <w:rPr>
                <w:color w:val="000000"/>
              </w:rPr>
              <w:t>Mean</w:t>
            </w:r>
          </w:p>
        </w:tc>
        <w:tc>
          <w:tcPr>
            <w:tcW w:w="1559"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-0.0510</w:t>
            </w:r>
          </w:p>
        </w:tc>
        <w:tc>
          <w:tcPr>
            <w:tcW w:w="1460"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-0.0504</w:t>
            </w:r>
          </w:p>
        </w:tc>
        <w:tc>
          <w:tcPr>
            <w:tcW w:w="1134"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0.0275</w:t>
            </w:r>
          </w:p>
        </w:tc>
        <w:tc>
          <w:tcPr>
            <w:tcW w:w="1417"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0.0258</w:t>
            </w:r>
          </w:p>
        </w:tc>
      </w:tr>
      <w:tr w:rsidR="0087399A" w:rsidRPr="0087399A" w:rsidTr="0087399A">
        <w:trPr>
          <w:trHeight w:val="315"/>
        </w:trPr>
        <w:tc>
          <w:tcPr>
            <w:tcW w:w="1433" w:type="dxa"/>
            <w:tcBorders>
              <w:top w:val="nil"/>
              <w:left w:val="nil"/>
              <w:bottom w:val="nil"/>
              <w:right w:val="nil"/>
            </w:tcBorders>
            <w:vAlign w:val="center"/>
            <w:hideMark/>
          </w:tcPr>
          <w:p w:rsidR="0087399A" w:rsidRPr="007B6208" w:rsidRDefault="0087399A" w:rsidP="0087399A">
            <w:pPr>
              <w:rPr>
                <w:color w:val="000000"/>
              </w:rPr>
            </w:pPr>
          </w:p>
        </w:tc>
        <w:tc>
          <w:tcPr>
            <w:tcW w:w="1559" w:type="dxa"/>
            <w:tcBorders>
              <w:top w:val="nil"/>
              <w:left w:val="nil"/>
              <w:bottom w:val="nil"/>
              <w:right w:val="nil"/>
            </w:tcBorders>
            <w:shd w:val="clear" w:color="auto" w:fill="auto"/>
            <w:noWrap/>
            <w:vAlign w:val="bottom"/>
            <w:hideMark/>
          </w:tcPr>
          <w:p w:rsidR="0087399A" w:rsidRPr="007B6208" w:rsidRDefault="0087399A" w:rsidP="0087399A">
            <w:pPr>
              <w:jc w:val="center"/>
              <w:rPr>
                <w:color w:val="000000"/>
              </w:rPr>
            </w:pPr>
            <w:r w:rsidRPr="007B6208">
              <w:rPr>
                <w:color w:val="000000"/>
              </w:rPr>
              <w:t>t</w:t>
            </w:r>
          </w:p>
        </w:tc>
        <w:tc>
          <w:tcPr>
            <w:tcW w:w="1559"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-5.02</w:t>
            </w:r>
          </w:p>
        </w:tc>
        <w:tc>
          <w:tcPr>
            <w:tcW w:w="1460"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-4.75</w:t>
            </w:r>
          </w:p>
        </w:tc>
        <w:tc>
          <w:tcPr>
            <w:tcW w:w="1134"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1.48</w:t>
            </w:r>
          </w:p>
        </w:tc>
        <w:tc>
          <w:tcPr>
            <w:tcW w:w="1417"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1.51</w:t>
            </w:r>
          </w:p>
        </w:tc>
      </w:tr>
      <w:tr w:rsidR="0087399A" w:rsidRPr="0087399A" w:rsidTr="0087399A">
        <w:trPr>
          <w:trHeight w:val="315"/>
        </w:trPr>
        <w:tc>
          <w:tcPr>
            <w:tcW w:w="1433" w:type="dxa"/>
            <w:tcBorders>
              <w:top w:val="nil"/>
              <w:left w:val="nil"/>
              <w:bottom w:val="nil"/>
              <w:right w:val="nil"/>
            </w:tcBorders>
            <w:vAlign w:val="center"/>
            <w:hideMark/>
          </w:tcPr>
          <w:p w:rsidR="0087399A" w:rsidRPr="007B6208" w:rsidRDefault="0087399A" w:rsidP="0087399A">
            <w:pPr>
              <w:rPr>
                <w:color w:val="000000"/>
              </w:rPr>
            </w:pPr>
          </w:p>
        </w:tc>
        <w:tc>
          <w:tcPr>
            <w:tcW w:w="1559" w:type="dxa"/>
            <w:tcBorders>
              <w:top w:val="nil"/>
              <w:left w:val="nil"/>
              <w:bottom w:val="nil"/>
              <w:right w:val="nil"/>
            </w:tcBorders>
            <w:shd w:val="clear" w:color="auto" w:fill="auto"/>
            <w:noWrap/>
            <w:vAlign w:val="bottom"/>
            <w:hideMark/>
          </w:tcPr>
          <w:p w:rsidR="0087399A" w:rsidRPr="007B6208" w:rsidRDefault="0087399A" w:rsidP="0087399A">
            <w:pPr>
              <w:jc w:val="center"/>
              <w:rPr>
                <w:color w:val="000000"/>
              </w:rPr>
            </w:pPr>
            <w:r w:rsidRPr="007B6208">
              <w:rPr>
                <w:bCs/>
                <w:color w:val="000000"/>
              </w:rPr>
              <w:t xml:space="preserve">Domar </w:t>
            </w:r>
            <w:proofErr w:type="spellStart"/>
            <w:r w:rsidRPr="007B6208">
              <w:rPr>
                <w:bCs/>
                <w:color w:val="000000"/>
              </w:rPr>
              <w:t>bias</w:t>
            </w:r>
            <w:proofErr w:type="spellEnd"/>
          </w:p>
        </w:tc>
        <w:tc>
          <w:tcPr>
            <w:tcW w:w="1559"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-3.5%</w:t>
            </w:r>
          </w:p>
        </w:tc>
        <w:tc>
          <w:tcPr>
            <w:tcW w:w="1460"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-3.5%</w:t>
            </w:r>
          </w:p>
        </w:tc>
        <w:tc>
          <w:tcPr>
            <w:tcW w:w="1134"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1.9%</w:t>
            </w:r>
          </w:p>
        </w:tc>
        <w:tc>
          <w:tcPr>
            <w:tcW w:w="1417"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1.8%</w:t>
            </w:r>
          </w:p>
        </w:tc>
      </w:tr>
      <w:tr w:rsidR="0087399A" w:rsidRPr="007B6208" w:rsidTr="0087399A">
        <w:trPr>
          <w:trHeight w:val="315"/>
        </w:trPr>
        <w:tc>
          <w:tcPr>
            <w:tcW w:w="1433" w:type="dxa"/>
            <w:vMerge w:val="restart"/>
            <w:tcBorders>
              <w:top w:val="nil"/>
              <w:left w:val="nil"/>
              <w:bottom w:val="nil"/>
              <w:right w:val="nil"/>
            </w:tcBorders>
            <w:shd w:val="clear" w:color="auto" w:fill="auto"/>
            <w:noWrap/>
            <w:vAlign w:val="bottom"/>
            <w:hideMark/>
          </w:tcPr>
          <w:p w:rsidR="0087399A" w:rsidRPr="0087399A" w:rsidRDefault="0087399A" w:rsidP="0087399A">
            <w:pPr>
              <w:jc w:val="center"/>
              <w:rPr>
                <w:color w:val="000000"/>
              </w:rPr>
            </w:pPr>
            <w:r>
              <w:rPr>
                <w:color w:val="000000"/>
              </w:rPr>
              <w:t>2003</w:t>
            </w:r>
          </w:p>
          <w:p w:rsidR="0087399A" w:rsidRPr="0087399A" w:rsidRDefault="0087399A" w:rsidP="0087399A">
            <w:pPr>
              <w:jc w:val="center"/>
              <w:rPr>
                <w:color w:val="000000"/>
              </w:rPr>
            </w:pPr>
          </w:p>
          <w:p w:rsidR="0087399A" w:rsidRPr="007B6208" w:rsidRDefault="0087399A" w:rsidP="0087399A">
            <w:pPr>
              <w:jc w:val="center"/>
              <w:rPr>
                <w:color w:val="000000"/>
              </w:rPr>
            </w:pPr>
          </w:p>
        </w:tc>
        <w:tc>
          <w:tcPr>
            <w:tcW w:w="1559" w:type="dxa"/>
            <w:tcBorders>
              <w:top w:val="nil"/>
              <w:left w:val="nil"/>
              <w:bottom w:val="nil"/>
              <w:right w:val="nil"/>
            </w:tcBorders>
            <w:shd w:val="clear" w:color="auto" w:fill="auto"/>
            <w:noWrap/>
            <w:vAlign w:val="bottom"/>
            <w:hideMark/>
          </w:tcPr>
          <w:p w:rsidR="0087399A" w:rsidRPr="007B6208" w:rsidRDefault="0087399A" w:rsidP="0087399A">
            <w:pPr>
              <w:jc w:val="center"/>
              <w:rPr>
                <w:color w:val="000000"/>
              </w:rPr>
            </w:pPr>
            <w:r w:rsidRPr="007B6208">
              <w:rPr>
                <w:color w:val="000000"/>
              </w:rPr>
              <w:t>Mean</w:t>
            </w:r>
          </w:p>
        </w:tc>
        <w:tc>
          <w:tcPr>
            <w:tcW w:w="1559"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-0.0436</w:t>
            </w:r>
          </w:p>
        </w:tc>
        <w:tc>
          <w:tcPr>
            <w:tcW w:w="1460"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-0.0411</w:t>
            </w:r>
          </w:p>
        </w:tc>
        <w:tc>
          <w:tcPr>
            <w:tcW w:w="1134"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0.0395</w:t>
            </w:r>
          </w:p>
        </w:tc>
        <w:tc>
          <w:tcPr>
            <w:tcW w:w="1417"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0.0380</w:t>
            </w:r>
          </w:p>
        </w:tc>
      </w:tr>
      <w:tr w:rsidR="0087399A" w:rsidRPr="007B6208" w:rsidTr="0087399A">
        <w:trPr>
          <w:trHeight w:val="315"/>
        </w:trPr>
        <w:tc>
          <w:tcPr>
            <w:tcW w:w="1433" w:type="dxa"/>
            <w:vMerge/>
            <w:tcBorders>
              <w:top w:val="nil"/>
              <w:left w:val="nil"/>
              <w:bottom w:val="nil"/>
              <w:right w:val="nil"/>
            </w:tcBorders>
            <w:vAlign w:val="center"/>
            <w:hideMark/>
          </w:tcPr>
          <w:p w:rsidR="0087399A" w:rsidRPr="007B6208" w:rsidRDefault="0087399A" w:rsidP="0087399A">
            <w:pPr>
              <w:rPr>
                <w:color w:val="000000"/>
              </w:rPr>
            </w:pPr>
          </w:p>
        </w:tc>
        <w:tc>
          <w:tcPr>
            <w:tcW w:w="1559" w:type="dxa"/>
            <w:tcBorders>
              <w:top w:val="nil"/>
              <w:left w:val="nil"/>
              <w:bottom w:val="nil"/>
              <w:right w:val="nil"/>
            </w:tcBorders>
            <w:shd w:val="clear" w:color="auto" w:fill="auto"/>
            <w:noWrap/>
            <w:vAlign w:val="bottom"/>
            <w:hideMark/>
          </w:tcPr>
          <w:p w:rsidR="0087399A" w:rsidRPr="007B6208" w:rsidRDefault="0087399A" w:rsidP="0087399A">
            <w:pPr>
              <w:jc w:val="center"/>
              <w:rPr>
                <w:color w:val="000000"/>
              </w:rPr>
            </w:pPr>
            <w:r w:rsidRPr="007B6208">
              <w:rPr>
                <w:color w:val="000000"/>
              </w:rPr>
              <w:t>t</w:t>
            </w:r>
          </w:p>
        </w:tc>
        <w:tc>
          <w:tcPr>
            <w:tcW w:w="1559"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-3.82</w:t>
            </w:r>
          </w:p>
        </w:tc>
        <w:tc>
          <w:tcPr>
            <w:tcW w:w="1460"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-3.43</w:t>
            </w:r>
          </w:p>
        </w:tc>
        <w:tc>
          <w:tcPr>
            <w:tcW w:w="1134"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2.15</w:t>
            </w:r>
          </w:p>
        </w:tc>
        <w:tc>
          <w:tcPr>
            <w:tcW w:w="1417"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2.26</w:t>
            </w:r>
          </w:p>
        </w:tc>
      </w:tr>
      <w:tr w:rsidR="0087399A" w:rsidRPr="007B6208" w:rsidTr="0087399A">
        <w:trPr>
          <w:trHeight w:val="315"/>
        </w:trPr>
        <w:tc>
          <w:tcPr>
            <w:tcW w:w="1433" w:type="dxa"/>
            <w:vMerge/>
            <w:tcBorders>
              <w:top w:val="nil"/>
              <w:left w:val="nil"/>
              <w:bottom w:val="nil"/>
              <w:right w:val="nil"/>
            </w:tcBorders>
            <w:vAlign w:val="center"/>
            <w:hideMark/>
          </w:tcPr>
          <w:p w:rsidR="0087399A" w:rsidRPr="007B6208" w:rsidRDefault="0087399A" w:rsidP="0087399A">
            <w:pPr>
              <w:rPr>
                <w:color w:val="000000"/>
              </w:rPr>
            </w:pPr>
          </w:p>
        </w:tc>
        <w:tc>
          <w:tcPr>
            <w:tcW w:w="1559" w:type="dxa"/>
            <w:tcBorders>
              <w:top w:val="nil"/>
              <w:left w:val="nil"/>
              <w:bottom w:val="nil"/>
              <w:right w:val="nil"/>
            </w:tcBorders>
            <w:shd w:val="clear" w:color="auto" w:fill="auto"/>
            <w:noWrap/>
            <w:vAlign w:val="bottom"/>
            <w:hideMark/>
          </w:tcPr>
          <w:p w:rsidR="0087399A" w:rsidRPr="007B6208" w:rsidRDefault="0087399A" w:rsidP="0087399A">
            <w:pPr>
              <w:jc w:val="center"/>
              <w:rPr>
                <w:color w:val="000000"/>
              </w:rPr>
            </w:pPr>
            <w:r w:rsidRPr="007B6208">
              <w:rPr>
                <w:bCs/>
                <w:color w:val="000000"/>
              </w:rPr>
              <w:t xml:space="preserve">Domar </w:t>
            </w:r>
            <w:proofErr w:type="spellStart"/>
            <w:r w:rsidRPr="007B6208">
              <w:rPr>
                <w:bCs/>
                <w:color w:val="000000"/>
              </w:rPr>
              <w:t>bias</w:t>
            </w:r>
            <w:proofErr w:type="spellEnd"/>
          </w:p>
        </w:tc>
        <w:tc>
          <w:tcPr>
            <w:tcW w:w="1559"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-3.0%</w:t>
            </w:r>
          </w:p>
        </w:tc>
        <w:tc>
          <w:tcPr>
            <w:tcW w:w="1460"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-2.8%</w:t>
            </w:r>
          </w:p>
        </w:tc>
        <w:tc>
          <w:tcPr>
            <w:tcW w:w="1134"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2.7%</w:t>
            </w:r>
          </w:p>
        </w:tc>
        <w:tc>
          <w:tcPr>
            <w:tcW w:w="1417"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2.6%</w:t>
            </w:r>
          </w:p>
        </w:tc>
      </w:tr>
      <w:tr w:rsidR="0087399A" w:rsidRPr="007B6208" w:rsidTr="0087399A">
        <w:trPr>
          <w:trHeight w:val="315"/>
        </w:trPr>
        <w:tc>
          <w:tcPr>
            <w:tcW w:w="1433" w:type="dxa"/>
            <w:vMerge w:val="restart"/>
            <w:tcBorders>
              <w:top w:val="nil"/>
              <w:left w:val="nil"/>
              <w:bottom w:val="nil"/>
              <w:right w:val="nil"/>
            </w:tcBorders>
            <w:shd w:val="clear" w:color="auto" w:fill="auto"/>
            <w:noWrap/>
            <w:vAlign w:val="bottom"/>
            <w:hideMark/>
          </w:tcPr>
          <w:p w:rsidR="0087399A" w:rsidRPr="0087399A" w:rsidRDefault="0087399A" w:rsidP="0087399A">
            <w:pPr>
              <w:jc w:val="center"/>
              <w:rPr>
                <w:color w:val="000000"/>
              </w:rPr>
            </w:pPr>
            <w:r>
              <w:rPr>
                <w:color w:val="000000"/>
              </w:rPr>
              <w:t>2004</w:t>
            </w:r>
          </w:p>
          <w:p w:rsidR="0087399A" w:rsidRPr="0087399A" w:rsidRDefault="0087399A" w:rsidP="0087399A">
            <w:pPr>
              <w:jc w:val="center"/>
              <w:rPr>
                <w:color w:val="000000"/>
              </w:rPr>
            </w:pPr>
          </w:p>
          <w:p w:rsidR="0087399A" w:rsidRPr="007B6208" w:rsidRDefault="0087399A" w:rsidP="0087399A">
            <w:pPr>
              <w:jc w:val="center"/>
              <w:rPr>
                <w:color w:val="000000"/>
              </w:rPr>
            </w:pPr>
          </w:p>
        </w:tc>
        <w:tc>
          <w:tcPr>
            <w:tcW w:w="1559" w:type="dxa"/>
            <w:tcBorders>
              <w:top w:val="nil"/>
              <w:left w:val="nil"/>
              <w:bottom w:val="nil"/>
              <w:right w:val="nil"/>
            </w:tcBorders>
            <w:shd w:val="clear" w:color="auto" w:fill="auto"/>
            <w:noWrap/>
            <w:vAlign w:val="bottom"/>
            <w:hideMark/>
          </w:tcPr>
          <w:p w:rsidR="0087399A" w:rsidRPr="007B6208" w:rsidRDefault="0087399A" w:rsidP="0087399A">
            <w:pPr>
              <w:jc w:val="center"/>
              <w:rPr>
                <w:color w:val="000000"/>
              </w:rPr>
            </w:pPr>
            <w:r w:rsidRPr="007B6208">
              <w:rPr>
                <w:color w:val="000000"/>
              </w:rPr>
              <w:t>Mean</w:t>
            </w:r>
          </w:p>
        </w:tc>
        <w:tc>
          <w:tcPr>
            <w:tcW w:w="1559"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-0.0481</w:t>
            </w:r>
          </w:p>
        </w:tc>
        <w:tc>
          <w:tcPr>
            <w:tcW w:w="1460"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-0.0463</w:t>
            </w:r>
          </w:p>
        </w:tc>
        <w:tc>
          <w:tcPr>
            <w:tcW w:w="1134"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0.0317</w:t>
            </w:r>
          </w:p>
        </w:tc>
        <w:tc>
          <w:tcPr>
            <w:tcW w:w="1417"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0.0303</w:t>
            </w:r>
          </w:p>
        </w:tc>
      </w:tr>
      <w:tr w:rsidR="0087399A" w:rsidRPr="007B6208" w:rsidTr="0087399A">
        <w:trPr>
          <w:trHeight w:val="315"/>
        </w:trPr>
        <w:tc>
          <w:tcPr>
            <w:tcW w:w="1433" w:type="dxa"/>
            <w:vMerge/>
            <w:tcBorders>
              <w:top w:val="nil"/>
              <w:left w:val="nil"/>
              <w:bottom w:val="nil"/>
              <w:right w:val="nil"/>
            </w:tcBorders>
            <w:vAlign w:val="center"/>
            <w:hideMark/>
          </w:tcPr>
          <w:p w:rsidR="0087399A" w:rsidRPr="007B6208" w:rsidRDefault="0087399A" w:rsidP="0087399A">
            <w:pPr>
              <w:rPr>
                <w:color w:val="000000"/>
              </w:rPr>
            </w:pPr>
          </w:p>
        </w:tc>
        <w:tc>
          <w:tcPr>
            <w:tcW w:w="1559" w:type="dxa"/>
            <w:tcBorders>
              <w:top w:val="nil"/>
              <w:left w:val="nil"/>
              <w:bottom w:val="nil"/>
              <w:right w:val="nil"/>
            </w:tcBorders>
            <w:shd w:val="clear" w:color="auto" w:fill="auto"/>
            <w:noWrap/>
            <w:vAlign w:val="bottom"/>
            <w:hideMark/>
          </w:tcPr>
          <w:p w:rsidR="0087399A" w:rsidRPr="007B6208" w:rsidRDefault="0087399A" w:rsidP="0087399A">
            <w:pPr>
              <w:jc w:val="center"/>
              <w:rPr>
                <w:color w:val="000000"/>
              </w:rPr>
            </w:pPr>
            <w:r w:rsidRPr="007B6208">
              <w:rPr>
                <w:color w:val="000000"/>
              </w:rPr>
              <w:t>t</w:t>
            </w:r>
          </w:p>
        </w:tc>
        <w:tc>
          <w:tcPr>
            <w:tcW w:w="1559"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-5.04</w:t>
            </w:r>
          </w:p>
        </w:tc>
        <w:tc>
          <w:tcPr>
            <w:tcW w:w="1460"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-4.55</w:t>
            </w:r>
          </w:p>
        </w:tc>
        <w:tc>
          <w:tcPr>
            <w:tcW w:w="1134"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1.86</w:t>
            </w:r>
          </w:p>
        </w:tc>
        <w:tc>
          <w:tcPr>
            <w:tcW w:w="1417"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1.95</w:t>
            </w:r>
          </w:p>
        </w:tc>
      </w:tr>
      <w:tr w:rsidR="0087399A" w:rsidRPr="007B6208" w:rsidTr="0087399A">
        <w:trPr>
          <w:trHeight w:val="315"/>
        </w:trPr>
        <w:tc>
          <w:tcPr>
            <w:tcW w:w="1433" w:type="dxa"/>
            <w:vMerge/>
            <w:tcBorders>
              <w:top w:val="nil"/>
              <w:left w:val="nil"/>
              <w:bottom w:val="nil"/>
              <w:right w:val="nil"/>
            </w:tcBorders>
            <w:vAlign w:val="center"/>
            <w:hideMark/>
          </w:tcPr>
          <w:p w:rsidR="0087399A" w:rsidRPr="007B6208" w:rsidRDefault="0087399A" w:rsidP="0087399A">
            <w:pPr>
              <w:rPr>
                <w:color w:val="000000"/>
              </w:rPr>
            </w:pPr>
          </w:p>
        </w:tc>
        <w:tc>
          <w:tcPr>
            <w:tcW w:w="1559" w:type="dxa"/>
            <w:tcBorders>
              <w:top w:val="nil"/>
              <w:left w:val="nil"/>
              <w:bottom w:val="nil"/>
              <w:right w:val="nil"/>
            </w:tcBorders>
            <w:shd w:val="clear" w:color="auto" w:fill="auto"/>
            <w:noWrap/>
            <w:vAlign w:val="bottom"/>
            <w:hideMark/>
          </w:tcPr>
          <w:p w:rsidR="0087399A" w:rsidRPr="007B6208" w:rsidRDefault="0087399A" w:rsidP="0087399A">
            <w:pPr>
              <w:jc w:val="center"/>
              <w:rPr>
                <w:color w:val="000000"/>
              </w:rPr>
            </w:pPr>
            <w:r w:rsidRPr="007B6208">
              <w:rPr>
                <w:bCs/>
                <w:color w:val="000000"/>
              </w:rPr>
              <w:t xml:space="preserve">Domar </w:t>
            </w:r>
            <w:proofErr w:type="spellStart"/>
            <w:r w:rsidRPr="007B6208">
              <w:rPr>
                <w:bCs/>
                <w:color w:val="000000"/>
              </w:rPr>
              <w:t>bias</w:t>
            </w:r>
            <w:proofErr w:type="spellEnd"/>
          </w:p>
        </w:tc>
        <w:tc>
          <w:tcPr>
            <w:tcW w:w="1559"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-3.3%</w:t>
            </w:r>
          </w:p>
        </w:tc>
        <w:tc>
          <w:tcPr>
            <w:tcW w:w="1460"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-3.2%</w:t>
            </w:r>
          </w:p>
        </w:tc>
        <w:tc>
          <w:tcPr>
            <w:tcW w:w="1134"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2.2%</w:t>
            </w:r>
          </w:p>
        </w:tc>
        <w:tc>
          <w:tcPr>
            <w:tcW w:w="1417"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2.1%</w:t>
            </w:r>
          </w:p>
        </w:tc>
      </w:tr>
      <w:tr w:rsidR="0087399A" w:rsidRPr="007B6208" w:rsidTr="0087399A">
        <w:trPr>
          <w:trHeight w:val="315"/>
        </w:trPr>
        <w:tc>
          <w:tcPr>
            <w:tcW w:w="1433" w:type="dxa"/>
            <w:vMerge w:val="restart"/>
            <w:tcBorders>
              <w:top w:val="nil"/>
              <w:left w:val="nil"/>
              <w:bottom w:val="nil"/>
              <w:right w:val="nil"/>
            </w:tcBorders>
            <w:shd w:val="clear" w:color="auto" w:fill="auto"/>
            <w:noWrap/>
            <w:vAlign w:val="bottom"/>
            <w:hideMark/>
          </w:tcPr>
          <w:p w:rsidR="0087399A" w:rsidRPr="0087399A" w:rsidRDefault="0087399A" w:rsidP="0087399A">
            <w:pPr>
              <w:jc w:val="center"/>
              <w:rPr>
                <w:color w:val="000000"/>
              </w:rPr>
            </w:pPr>
            <w:r>
              <w:rPr>
                <w:color w:val="000000"/>
              </w:rPr>
              <w:t>2005</w:t>
            </w:r>
          </w:p>
          <w:p w:rsidR="0087399A" w:rsidRPr="0087399A" w:rsidRDefault="0087399A" w:rsidP="0087399A">
            <w:pPr>
              <w:jc w:val="center"/>
              <w:rPr>
                <w:color w:val="000000"/>
              </w:rPr>
            </w:pPr>
          </w:p>
          <w:p w:rsidR="0087399A" w:rsidRPr="007B6208" w:rsidRDefault="0087399A" w:rsidP="0087399A">
            <w:pPr>
              <w:jc w:val="center"/>
              <w:rPr>
                <w:color w:val="000000"/>
              </w:rPr>
            </w:pPr>
          </w:p>
        </w:tc>
        <w:tc>
          <w:tcPr>
            <w:tcW w:w="1559" w:type="dxa"/>
            <w:tcBorders>
              <w:top w:val="nil"/>
              <w:left w:val="nil"/>
              <w:bottom w:val="nil"/>
              <w:right w:val="nil"/>
            </w:tcBorders>
            <w:shd w:val="clear" w:color="auto" w:fill="auto"/>
            <w:noWrap/>
            <w:vAlign w:val="bottom"/>
            <w:hideMark/>
          </w:tcPr>
          <w:p w:rsidR="0087399A" w:rsidRPr="007B6208" w:rsidRDefault="0087399A" w:rsidP="0087399A">
            <w:pPr>
              <w:jc w:val="center"/>
              <w:rPr>
                <w:color w:val="000000"/>
              </w:rPr>
            </w:pPr>
            <w:r w:rsidRPr="007B6208">
              <w:rPr>
                <w:color w:val="000000"/>
              </w:rPr>
              <w:t>Mean</w:t>
            </w:r>
          </w:p>
        </w:tc>
        <w:tc>
          <w:tcPr>
            <w:tcW w:w="1559"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-0.0376</w:t>
            </w:r>
          </w:p>
        </w:tc>
        <w:tc>
          <w:tcPr>
            <w:tcW w:w="1460"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-0.0346</w:t>
            </w:r>
          </w:p>
        </w:tc>
        <w:tc>
          <w:tcPr>
            <w:tcW w:w="1134"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0.0469</w:t>
            </w:r>
          </w:p>
        </w:tc>
        <w:tc>
          <w:tcPr>
            <w:tcW w:w="1417"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0.0447</w:t>
            </w:r>
          </w:p>
        </w:tc>
      </w:tr>
      <w:tr w:rsidR="0087399A" w:rsidRPr="007B6208" w:rsidTr="0087399A">
        <w:trPr>
          <w:trHeight w:val="315"/>
        </w:trPr>
        <w:tc>
          <w:tcPr>
            <w:tcW w:w="1433" w:type="dxa"/>
            <w:vMerge/>
            <w:tcBorders>
              <w:top w:val="nil"/>
              <w:left w:val="nil"/>
              <w:bottom w:val="nil"/>
              <w:right w:val="nil"/>
            </w:tcBorders>
            <w:vAlign w:val="center"/>
            <w:hideMark/>
          </w:tcPr>
          <w:p w:rsidR="0087399A" w:rsidRPr="007B6208" w:rsidRDefault="0087399A" w:rsidP="0087399A">
            <w:pPr>
              <w:rPr>
                <w:color w:val="000000"/>
              </w:rPr>
            </w:pPr>
          </w:p>
        </w:tc>
        <w:tc>
          <w:tcPr>
            <w:tcW w:w="1559" w:type="dxa"/>
            <w:tcBorders>
              <w:top w:val="nil"/>
              <w:left w:val="nil"/>
              <w:bottom w:val="nil"/>
              <w:right w:val="nil"/>
            </w:tcBorders>
            <w:shd w:val="clear" w:color="auto" w:fill="auto"/>
            <w:noWrap/>
            <w:vAlign w:val="bottom"/>
            <w:hideMark/>
          </w:tcPr>
          <w:p w:rsidR="0087399A" w:rsidRPr="007B6208" w:rsidRDefault="0087399A" w:rsidP="0087399A">
            <w:pPr>
              <w:jc w:val="center"/>
              <w:rPr>
                <w:color w:val="000000"/>
              </w:rPr>
            </w:pPr>
            <w:r w:rsidRPr="007B6208">
              <w:rPr>
                <w:color w:val="000000"/>
              </w:rPr>
              <w:t>t</w:t>
            </w:r>
          </w:p>
        </w:tc>
        <w:tc>
          <w:tcPr>
            <w:tcW w:w="1559"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-3.05</w:t>
            </w:r>
          </w:p>
        </w:tc>
        <w:tc>
          <w:tcPr>
            <w:tcW w:w="1460"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-2.72</w:t>
            </w:r>
          </w:p>
        </w:tc>
        <w:tc>
          <w:tcPr>
            <w:tcW w:w="1134"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2.52</w:t>
            </w:r>
          </w:p>
        </w:tc>
        <w:tc>
          <w:tcPr>
            <w:tcW w:w="1417"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2.58</w:t>
            </w:r>
          </w:p>
        </w:tc>
      </w:tr>
      <w:tr w:rsidR="0087399A" w:rsidRPr="007B6208" w:rsidTr="0087399A">
        <w:trPr>
          <w:trHeight w:val="315"/>
        </w:trPr>
        <w:tc>
          <w:tcPr>
            <w:tcW w:w="1433" w:type="dxa"/>
            <w:vMerge/>
            <w:tcBorders>
              <w:top w:val="nil"/>
              <w:left w:val="nil"/>
              <w:bottom w:val="nil"/>
              <w:right w:val="nil"/>
            </w:tcBorders>
            <w:vAlign w:val="center"/>
            <w:hideMark/>
          </w:tcPr>
          <w:p w:rsidR="0087399A" w:rsidRPr="007B6208" w:rsidRDefault="0087399A" w:rsidP="0087399A">
            <w:pPr>
              <w:rPr>
                <w:color w:val="000000"/>
              </w:rPr>
            </w:pPr>
          </w:p>
        </w:tc>
        <w:tc>
          <w:tcPr>
            <w:tcW w:w="1559" w:type="dxa"/>
            <w:tcBorders>
              <w:top w:val="nil"/>
              <w:left w:val="nil"/>
              <w:bottom w:val="nil"/>
              <w:right w:val="nil"/>
            </w:tcBorders>
            <w:shd w:val="clear" w:color="auto" w:fill="auto"/>
            <w:noWrap/>
            <w:vAlign w:val="bottom"/>
            <w:hideMark/>
          </w:tcPr>
          <w:p w:rsidR="0087399A" w:rsidRPr="007B6208" w:rsidRDefault="0087399A" w:rsidP="0087399A">
            <w:pPr>
              <w:jc w:val="center"/>
              <w:rPr>
                <w:color w:val="000000"/>
              </w:rPr>
            </w:pPr>
            <w:r w:rsidRPr="007B6208">
              <w:rPr>
                <w:bCs/>
                <w:color w:val="000000"/>
              </w:rPr>
              <w:t xml:space="preserve">Domar </w:t>
            </w:r>
            <w:proofErr w:type="spellStart"/>
            <w:r w:rsidRPr="007B6208">
              <w:rPr>
                <w:bCs/>
                <w:color w:val="000000"/>
              </w:rPr>
              <w:t>bias</w:t>
            </w:r>
            <w:proofErr w:type="spellEnd"/>
          </w:p>
        </w:tc>
        <w:tc>
          <w:tcPr>
            <w:tcW w:w="1559"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-2.6%</w:t>
            </w:r>
          </w:p>
        </w:tc>
        <w:tc>
          <w:tcPr>
            <w:tcW w:w="1460"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-2.4%</w:t>
            </w:r>
          </w:p>
        </w:tc>
        <w:tc>
          <w:tcPr>
            <w:tcW w:w="1134"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3.3%</w:t>
            </w:r>
          </w:p>
        </w:tc>
        <w:tc>
          <w:tcPr>
            <w:tcW w:w="1417"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3.1%</w:t>
            </w:r>
          </w:p>
        </w:tc>
      </w:tr>
      <w:tr w:rsidR="0087399A" w:rsidRPr="007B6208" w:rsidTr="0087399A">
        <w:trPr>
          <w:trHeight w:val="315"/>
        </w:trPr>
        <w:tc>
          <w:tcPr>
            <w:tcW w:w="1433" w:type="dxa"/>
            <w:vMerge w:val="restart"/>
            <w:tcBorders>
              <w:top w:val="nil"/>
              <w:left w:val="nil"/>
              <w:bottom w:val="nil"/>
              <w:right w:val="nil"/>
            </w:tcBorders>
            <w:shd w:val="clear" w:color="auto" w:fill="auto"/>
            <w:noWrap/>
            <w:vAlign w:val="bottom"/>
            <w:hideMark/>
          </w:tcPr>
          <w:p w:rsidR="0087399A" w:rsidRPr="0087399A" w:rsidRDefault="0087399A" w:rsidP="0087399A">
            <w:pPr>
              <w:jc w:val="center"/>
              <w:rPr>
                <w:color w:val="000000"/>
              </w:rPr>
            </w:pPr>
            <w:r>
              <w:rPr>
                <w:color w:val="000000"/>
              </w:rPr>
              <w:t>2006</w:t>
            </w:r>
          </w:p>
          <w:p w:rsidR="0087399A" w:rsidRPr="0087399A" w:rsidRDefault="0087399A" w:rsidP="0087399A">
            <w:pPr>
              <w:jc w:val="center"/>
              <w:rPr>
                <w:color w:val="000000"/>
              </w:rPr>
            </w:pPr>
          </w:p>
          <w:p w:rsidR="0087399A" w:rsidRPr="007B6208" w:rsidRDefault="0087399A" w:rsidP="0087399A">
            <w:pPr>
              <w:jc w:val="center"/>
              <w:rPr>
                <w:color w:val="000000"/>
              </w:rPr>
            </w:pPr>
          </w:p>
        </w:tc>
        <w:tc>
          <w:tcPr>
            <w:tcW w:w="1559" w:type="dxa"/>
            <w:tcBorders>
              <w:top w:val="nil"/>
              <w:left w:val="nil"/>
              <w:bottom w:val="nil"/>
              <w:right w:val="nil"/>
            </w:tcBorders>
            <w:shd w:val="clear" w:color="auto" w:fill="auto"/>
            <w:noWrap/>
            <w:vAlign w:val="bottom"/>
            <w:hideMark/>
          </w:tcPr>
          <w:p w:rsidR="0087399A" w:rsidRPr="007B6208" w:rsidRDefault="0087399A" w:rsidP="0087399A">
            <w:pPr>
              <w:jc w:val="center"/>
              <w:rPr>
                <w:color w:val="000000"/>
              </w:rPr>
            </w:pPr>
            <w:r w:rsidRPr="007B6208">
              <w:rPr>
                <w:color w:val="000000"/>
              </w:rPr>
              <w:t>Mean</w:t>
            </w:r>
          </w:p>
        </w:tc>
        <w:tc>
          <w:tcPr>
            <w:tcW w:w="1559"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-0.0484</w:t>
            </w:r>
          </w:p>
        </w:tc>
        <w:tc>
          <w:tcPr>
            <w:tcW w:w="1460"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-0.0455</w:t>
            </w:r>
          </w:p>
        </w:tc>
        <w:tc>
          <w:tcPr>
            <w:tcW w:w="1134"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0.0471</w:t>
            </w:r>
          </w:p>
        </w:tc>
        <w:tc>
          <w:tcPr>
            <w:tcW w:w="1417"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0.0448</w:t>
            </w:r>
          </w:p>
        </w:tc>
      </w:tr>
      <w:tr w:rsidR="0087399A" w:rsidRPr="007B6208" w:rsidTr="0087399A">
        <w:trPr>
          <w:trHeight w:val="315"/>
        </w:trPr>
        <w:tc>
          <w:tcPr>
            <w:tcW w:w="1433" w:type="dxa"/>
            <w:vMerge/>
            <w:tcBorders>
              <w:top w:val="nil"/>
              <w:left w:val="nil"/>
              <w:bottom w:val="nil"/>
              <w:right w:val="nil"/>
            </w:tcBorders>
            <w:vAlign w:val="center"/>
            <w:hideMark/>
          </w:tcPr>
          <w:p w:rsidR="0087399A" w:rsidRPr="007B6208" w:rsidRDefault="0087399A" w:rsidP="0087399A">
            <w:pPr>
              <w:rPr>
                <w:color w:val="000000"/>
              </w:rPr>
            </w:pPr>
          </w:p>
        </w:tc>
        <w:tc>
          <w:tcPr>
            <w:tcW w:w="1559" w:type="dxa"/>
            <w:tcBorders>
              <w:top w:val="nil"/>
              <w:left w:val="nil"/>
              <w:bottom w:val="nil"/>
              <w:right w:val="nil"/>
            </w:tcBorders>
            <w:shd w:val="clear" w:color="auto" w:fill="auto"/>
            <w:noWrap/>
            <w:vAlign w:val="bottom"/>
            <w:hideMark/>
          </w:tcPr>
          <w:p w:rsidR="0087399A" w:rsidRPr="007B6208" w:rsidRDefault="0087399A" w:rsidP="0087399A">
            <w:pPr>
              <w:jc w:val="center"/>
              <w:rPr>
                <w:color w:val="000000"/>
              </w:rPr>
            </w:pPr>
            <w:r w:rsidRPr="007B6208">
              <w:rPr>
                <w:color w:val="000000"/>
              </w:rPr>
              <w:t>t</w:t>
            </w:r>
          </w:p>
        </w:tc>
        <w:tc>
          <w:tcPr>
            <w:tcW w:w="1559"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-5.37</w:t>
            </w:r>
          </w:p>
        </w:tc>
        <w:tc>
          <w:tcPr>
            <w:tcW w:w="1460"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-4.34</w:t>
            </w:r>
          </w:p>
        </w:tc>
        <w:tc>
          <w:tcPr>
            <w:tcW w:w="1134"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2.57</w:t>
            </w:r>
          </w:p>
        </w:tc>
        <w:tc>
          <w:tcPr>
            <w:tcW w:w="1417"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2.58</w:t>
            </w:r>
          </w:p>
        </w:tc>
      </w:tr>
      <w:tr w:rsidR="0087399A" w:rsidRPr="007B6208" w:rsidTr="0087399A">
        <w:trPr>
          <w:trHeight w:val="315"/>
        </w:trPr>
        <w:tc>
          <w:tcPr>
            <w:tcW w:w="1433" w:type="dxa"/>
            <w:vMerge/>
            <w:tcBorders>
              <w:top w:val="nil"/>
              <w:left w:val="nil"/>
              <w:bottom w:val="nil"/>
              <w:right w:val="nil"/>
            </w:tcBorders>
            <w:vAlign w:val="center"/>
            <w:hideMark/>
          </w:tcPr>
          <w:p w:rsidR="0087399A" w:rsidRPr="007B6208" w:rsidRDefault="0087399A" w:rsidP="0087399A">
            <w:pPr>
              <w:rPr>
                <w:color w:val="000000"/>
              </w:rPr>
            </w:pPr>
          </w:p>
        </w:tc>
        <w:tc>
          <w:tcPr>
            <w:tcW w:w="1559" w:type="dxa"/>
            <w:tcBorders>
              <w:top w:val="nil"/>
              <w:left w:val="nil"/>
              <w:bottom w:val="nil"/>
              <w:right w:val="nil"/>
            </w:tcBorders>
            <w:shd w:val="clear" w:color="auto" w:fill="auto"/>
            <w:noWrap/>
            <w:vAlign w:val="bottom"/>
            <w:hideMark/>
          </w:tcPr>
          <w:p w:rsidR="0087399A" w:rsidRPr="007B6208" w:rsidRDefault="0087399A" w:rsidP="0087399A">
            <w:pPr>
              <w:jc w:val="center"/>
              <w:rPr>
                <w:color w:val="000000"/>
              </w:rPr>
            </w:pPr>
            <w:r w:rsidRPr="007B6208">
              <w:rPr>
                <w:bCs/>
                <w:color w:val="000000"/>
              </w:rPr>
              <w:t xml:space="preserve">Domar </w:t>
            </w:r>
            <w:proofErr w:type="spellStart"/>
            <w:r w:rsidRPr="007B6208">
              <w:rPr>
                <w:bCs/>
                <w:color w:val="000000"/>
              </w:rPr>
              <w:t>bias</w:t>
            </w:r>
            <w:proofErr w:type="spellEnd"/>
          </w:p>
        </w:tc>
        <w:tc>
          <w:tcPr>
            <w:tcW w:w="1559"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-3.4%</w:t>
            </w:r>
          </w:p>
        </w:tc>
        <w:tc>
          <w:tcPr>
            <w:tcW w:w="1460"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-3.2%</w:t>
            </w:r>
          </w:p>
        </w:tc>
        <w:tc>
          <w:tcPr>
            <w:tcW w:w="1134"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3.3%</w:t>
            </w:r>
          </w:p>
        </w:tc>
        <w:tc>
          <w:tcPr>
            <w:tcW w:w="1417"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3.1%</w:t>
            </w:r>
          </w:p>
        </w:tc>
      </w:tr>
      <w:tr w:rsidR="0087399A" w:rsidRPr="007B6208" w:rsidTr="0087399A">
        <w:trPr>
          <w:trHeight w:val="315"/>
        </w:trPr>
        <w:tc>
          <w:tcPr>
            <w:tcW w:w="1433" w:type="dxa"/>
            <w:vMerge w:val="restart"/>
            <w:tcBorders>
              <w:top w:val="nil"/>
              <w:left w:val="nil"/>
              <w:bottom w:val="nil"/>
              <w:right w:val="nil"/>
            </w:tcBorders>
            <w:shd w:val="clear" w:color="auto" w:fill="auto"/>
            <w:noWrap/>
            <w:vAlign w:val="bottom"/>
            <w:hideMark/>
          </w:tcPr>
          <w:p w:rsidR="0087399A" w:rsidRPr="0087399A" w:rsidRDefault="0087399A" w:rsidP="0087399A">
            <w:pPr>
              <w:jc w:val="center"/>
              <w:rPr>
                <w:color w:val="000000"/>
              </w:rPr>
            </w:pPr>
            <w:r>
              <w:rPr>
                <w:color w:val="000000"/>
              </w:rPr>
              <w:t>2007</w:t>
            </w:r>
          </w:p>
          <w:p w:rsidR="0087399A" w:rsidRPr="0087399A" w:rsidRDefault="0087399A" w:rsidP="0087399A">
            <w:pPr>
              <w:jc w:val="center"/>
              <w:rPr>
                <w:color w:val="000000"/>
              </w:rPr>
            </w:pPr>
          </w:p>
          <w:p w:rsidR="0087399A" w:rsidRPr="007B6208" w:rsidRDefault="0087399A" w:rsidP="0087399A">
            <w:pPr>
              <w:jc w:val="center"/>
              <w:rPr>
                <w:color w:val="000000"/>
              </w:rPr>
            </w:pPr>
          </w:p>
        </w:tc>
        <w:tc>
          <w:tcPr>
            <w:tcW w:w="1559" w:type="dxa"/>
            <w:tcBorders>
              <w:top w:val="nil"/>
              <w:left w:val="nil"/>
              <w:bottom w:val="nil"/>
              <w:right w:val="nil"/>
            </w:tcBorders>
            <w:shd w:val="clear" w:color="auto" w:fill="auto"/>
            <w:noWrap/>
            <w:vAlign w:val="bottom"/>
            <w:hideMark/>
          </w:tcPr>
          <w:p w:rsidR="0087399A" w:rsidRPr="007B6208" w:rsidRDefault="0087399A" w:rsidP="0087399A">
            <w:pPr>
              <w:jc w:val="center"/>
              <w:rPr>
                <w:color w:val="000000"/>
              </w:rPr>
            </w:pPr>
            <w:r w:rsidRPr="007B6208">
              <w:rPr>
                <w:color w:val="000000"/>
              </w:rPr>
              <w:t>Mean</w:t>
            </w:r>
          </w:p>
        </w:tc>
        <w:tc>
          <w:tcPr>
            <w:tcW w:w="1559"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-0.0378</w:t>
            </w:r>
          </w:p>
        </w:tc>
        <w:tc>
          <w:tcPr>
            <w:tcW w:w="1460"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-0.0347</w:t>
            </w:r>
          </w:p>
        </w:tc>
        <w:tc>
          <w:tcPr>
            <w:tcW w:w="1134"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0.0494</w:t>
            </w:r>
          </w:p>
        </w:tc>
        <w:tc>
          <w:tcPr>
            <w:tcW w:w="1417"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0.0470</w:t>
            </w:r>
          </w:p>
        </w:tc>
      </w:tr>
      <w:tr w:rsidR="0087399A" w:rsidRPr="007B6208" w:rsidTr="0087399A">
        <w:trPr>
          <w:trHeight w:val="315"/>
        </w:trPr>
        <w:tc>
          <w:tcPr>
            <w:tcW w:w="1433" w:type="dxa"/>
            <w:vMerge/>
            <w:tcBorders>
              <w:top w:val="nil"/>
              <w:left w:val="nil"/>
              <w:bottom w:val="nil"/>
              <w:right w:val="nil"/>
            </w:tcBorders>
            <w:vAlign w:val="center"/>
            <w:hideMark/>
          </w:tcPr>
          <w:p w:rsidR="0087399A" w:rsidRPr="007B6208" w:rsidRDefault="0087399A" w:rsidP="0087399A">
            <w:pPr>
              <w:rPr>
                <w:color w:val="000000"/>
              </w:rPr>
            </w:pPr>
          </w:p>
        </w:tc>
        <w:tc>
          <w:tcPr>
            <w:tcW w:w="1559" w:type="dxa"/>
            <w:tcBorders>
              <w:top w:val="nil"/>
              <w:left w:val="nil"/>
              <w:bottom w:val="nil"/>
              <w:right w:val="nil"/>
            </w:tcBorders>
            <w:shd w:val="clear" w:color="auto" w:fill="auto"/>
            <w:noWrap/>
            <w:vAlign w:val="bottom"/>
            <w:hideMark/>
          </w:tcPr>
          <w:p w:rsidR="0087399A" w:rsidRPr="007B6208" w:rsidRDefault="0087399A" w:rsidP="0087399A">
            <w:pPr>
              <w:jc w:val="center"/>
              <w:rPr>
                <w:color w:val="000000"/>
              </w:rPr>
            </w:pPr>
            <w:r w:rsidRPr="007B6208">
              <w:rPr>
                <w:color w:val="000000"/>
              </w:rPr>
              <w:t>t</w:t>
            </w:r>
          </w:p>
        </w:tc>
        <w:tc>
          <w:tcPr>
            <w:tcW w:w="1559"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-3.73</w:t>
            </w:r>
          </w:p>
        </w:tc>
        <w:tc>
          <w:tcPr>
            <w:tcW w:w="1460"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-3.04</w:t>
            </w:r>
          </w:p>
        </w:tc>
        <w:tc>
          <w:tcPr>
            <w:tcW w:w="1134"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2.90</w:t>
            </w:r>
          </w:p>
        </w:tc>
        <w:tc>
          <w:tcPr>
            <w:tcW w:w="1417"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2.98</w:t>
            </w:r>
          </w:p>
        </w:tc>
      </w:tr>
      <w:tr w:rsidR="0087399A" w:rsidRPr="007B6208" w:rsidTr="0087399A">
        <w:trPr>
          <w:trHeight w:val="315"/>
        </w:trPr>
        <w:tc>
          <w:tcPr>
            <w:tcW w:w="1433" w:type="dxa"/>
            <w:vMerge/>
            <w:tcBorders>
              <w:top w:val="nil"/>
              <w:left w:val="nil"/>
              <w:bottom w:val="nil"/>
              <w:right w:val="nil"/>
            </w:tcBorders>
            <w:vAlign w:val="center"/>
            <w:hideMark/>
          </w:tcPr>
          <w:p w:rsidR="0087399A" w:rsidRPr="007B6208" w:rsidRDefault="0087399A" w:rsidP="0087399A">
            <w:pPr>
              <w:rPr>
                <w:color w:val="000000"/>
              </w:rPr>
            </w:pPr>
          </w:p>
        </w:tc>
        <w:tc>
          <w:tcPr>
            <w:tcW w:w="1559" w:type="dxa"/>
            <w:tcBorders>
              <w:top w:val="nil"/>
              <w:left w:val="nil"/>
              <w:bottom w:val="nil"/>
              <w:right w:val="nil"/>
            </w:tcBorders>
            <w:shd w:val="clear" w:color="auto" w:fill="auto"/>
            <w:noWrap/>
            <w:vAlign w:val="bottom"/>
            <w:hideMark/>
          </w:tcPr>
          <w:p w:rsidR="0087399A" w:rsidRPr="007B6208" w:rsidRDefault="0087399A" w:rsidP="0087399A">
            <w:pPr>
              <w:jc w:val="center"/>
              <w:rPr>
                <w:color w:val="000000"/>
              </w:rPr>
            </w:pPr>
            <w:r w:rsidRPr="007B6208">
              <w:rPr>
                <w:bCs/>
                <w:color w:val="000000"/>
              </w:rPr>
              <w:t xml:space="preserve">Domar </w:t>
            </w:r>
            <w:proofErr w:type="spellStart"/>
            <w:r w:rsidRPr="007B6208">
              <w:rPr>
                <w:bCs/>
                <w:color w:val="000000"/>
              </w:rPr>
              <w:t>bias</w:t>
            </w:r>
            <w:proofErr w:type="spellEnd"/>
          </w:p>
        </w:tc>
        <w:tc>
          <w:tcPr>
            <w:tcW w:w="1559"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-2.6%</w:t>
            </w:r>
          </w:p>
        </w:tc>
        <w:tc>
          <w:tcPr>
            <w:tcW w:w="1460"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-2.4%</w:t>
            </w:r>
          </w:p>
        </w:tc>
        <w:tc>
          <w:tcPr>
            <w:tcW w:w="1134"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3.4%</w:t>
            </w:r>
          </w:p>
        </w:tc>
        <w:tc>
          <w:tcPr>
            <w:tcW w:w="1417" w:type="dxa"/>
            <w:tcBorders>
              <w:top w:val="nil"/>
              <w:left w:val="nil"/>
              <w:bottom w:val="nil"/>
              <w:right w:val="nil"/>
            </w:tcBorders>
            <w:shd w:val="clear" w:color="auto" w:fill="auto"/>
            <w:noWrap/>
            <w:vAlign w:val="bottom"/>
            <w:hideMark/>
          </w:tcPr>
          <w:p w:rsidR="0087399A" w:rsidRPr="0087399A" w:rsidRDefault="0087399A">
            <w:pPr>
              <w:jc w:val="center"/>
              <w:rPr>
                <w:color w:val="000000"/>
              </w:rPr>
            </w:pPr>
            <w:r w:rsidRPr="0087399A">
              <w:rPr>
                <w:color w:val="000000"/>
              </w:rPr>
              <w:t>3.3%</w:t>
            </w:r>
          </w:p>
        </w:tc>
      </w:tr>
    </w:tbl>
    <w:p w:rsidR="0087399A" w:rsidRPr="0087399A" w:rsidRDefault="0087399A" w:rsidP="0087399A">
      <w:pPr>
        <w:spacing w:before="120" w:after="120" w:line="360" w:lineRule="auto"/>
        <w:jc w:val="both"/>
        <w:rPr>
          <w:lang w:val="en-GB"/>
        </w:rPr>
      </w:pPr>
    </w:p>
    <w:p w:rsidR="006F24E2" w:rsidRPr="006F24E2" w:rsidRDefault="00B35A97" w:rsidP="006F24E2">
      <w:pPr>
        <w:spacing w:before="120" w:after="120" w:line="360" w:lineRule="auto"/>
        <w:jc w:val="both"/>
        <w:rPr>
          <w:lang w:val="en-GB"/>
        </w:rPr>
      </w:pPr>
      <w:r>
        <w:rPr>
          <w:lang w:val="en-GB"/>
        </w:rPr>
        <w:t>A</w:t>
      </w:r>
      <w:r w:rsidR="006F24E2" w:rsidRPr="006F24E2">
        <w:rPr>
          <w:lang w:val="en-GB"/>
        </w:rPr>
        <w:t>n overall result relevant to the</w:t>
      </w:r>
      <w:r>
        <w:rPr>
          <w:lang w:val="en-GB"/>
        </w:rPr>
        <w:t xml:space="preserve"> manufacturing</w:t>
      </w:r>
      <w:r w:rsidR="006F24E2" w:rsidRPr="006F24E2">
        <w:rPr>
          <w:lang w:val="en-GB"/>
        </w:rPr>
        <w:t xml:space="preserve"> industry can be envisaged. Table 3 shows the results of the t test carried out for the different years with the samples of the coefficients obtained in the 12 sector regressions. We can assume that these sector samples are independent. We know that there are some subsectors with positive coefficients in size variables and some subsectors with negative coefficients in density variables. The results are negative and almost every year statistically significant for the size variables. The results are positive, but scarcely significant for the density variables.</w:t>
      </w:r>
    </w:p>
    <w:p w:rsidR="006F24E2" w:rsidRDefault="006F24E2" w:rsidP="006F24E2">
      <w:pPr>
        <w:spacing w:before="120" w:after="120" w:line="360" w:lineRule="auto"/>
        <w:jc w:val="both"/>
        <w:rPr>
          <w:lang w:val="en-GB"/>
        </w:rPr>
      </w:pPr>
      <w:r w:rsidRPr="006F24E2">
        <w:rPr>
          <w:lang w:val="en-GB"/>
        </w:rPr>
        <w:t xml:space="preserve">We can accept that by doubling the size of the population or employment in a region, the measure of total factor productivity with the value-added approach underestimates the total factor productivity with respect to the approximation of total product. This bias </w:t>
      </w:r>
      <w:r w:rsidRPr="006F24E2">
        <w:rPr>
          <w:lang w:val="en-GB"/>
        </w:rPr>
        <w:lastRenderedPageBreak/>
        <w:t>is between 2% and 3.5%, which must be added to the 2% elasticity of size that is taken as a baseline in the studies of agglomeration econom</w:t>
      </w:r>
      <w:r w:rsidR="00C24EE5">
        <w:rPr>
          <w:lang w:val="en-GB"/>
        </w:rPr>
        <w:t>ies</w:t>
      </w:r>
      <w:r w:rsidRPr="006F24E2">
        <w:rPr>
          <w:lang w:val="en-GB"/>
        </w:rPr>
        <w:t>.</w:t>
      </w:r>
    </w:p>
    <w:p w:rsidR="00C24EE5" w:rsidRPr="00C24EE5" w:rsidRDefault="00C24EE5" w:rsidP="00C24EE5">
      <w:pPr>
        <w:spacing w:before="120" w:after="120" w:line="360" w:lineRule="auto"/>
        <w:jc w:val="both"/>
        <w:rPr>
          <w:b/>
          <w:lang w:val="en-GB"/>
        </w:rPr>
      </w:pPr>
      <w:r>
        <w:rPr>
          <w:b/>
          <w:lang w:val="en-GB"/>
        </w:rPr>
        <w:t xml:space="preserve">4 </w:t>
      </w:r>
      <w:r w:rsidRPr="00C24EE5">
        <w:rPr>
          <w:b/>
          <w:lang w:val="en-GB"/>
        </w:rPr>
        <w:t>Conclusions</w:t>
      </w:r>
    </w:p>
    <w:p w:rsidR="00C24EE5" w:rsidRDefault="00C24EE5" w:rsidP="00C24EE5">
      <w:pPr>
        <w:spacing w:before="120" w:after="120" w:line="360" w:lineRule="auto"/>
        <w:jc w:val="both"/>
        <w:rPr>
          <w:lang w:val="en-GB"/>
        </w:rPr>
      </w:pPr>
      <w:r w:rsidRPr="00C24EE5">
        <w:rPr>
          <w:lang w:val="en-GB"/>
        </w:rPr>
        <w:t xml:space="preserve">The empirical significance of the </w:t>
      </w:r>
      <w:proofErr w:type="spellStart"/>
      <w:r w:rsidRPr="00C24EE5">
        <w:rPr>
          <w:lang w:val="en-GB"/>
        </w:rPr>
        <w:t>Domar</w:t>
      </w:r>
      <w:proofErr w:type="spellEnd"/>
      <w:r w:rsidRPr="00C24EE5">
        <w:rPr>
          <w:lang w:val="en-GB"/>
        </w:rPr>
        <w:t xml:space="preserve"> factor as an accounting bias in measuring size productivity of cities is analyzed. The empirical analysis for the Spanish provinces for the period 1985-1995 suggests that the value added share in gross production decreases with city size </w:t>
      </w:r>
      <w:r w:rsidR="00763908">
        <w:rPr>
          <w:lang w:val="en-GB"/>
        </w:rPr>
        <w:t xml:space="preserve">(employment and population, in levels and density) </w:t>
      </w:r>
      <w:r w:rsidRPr="00C24EE5">
        <w:rPr>
          <w:lang w:val="en-GB"/>
        </w:rPr>
        <w:t xml:space="preserve">for agriculture and services. Perhaps unexpectedly, the </w:t>
      </w:r>
      <w:proofErr w:type="spellStart"/>
      <w:r w:rsidRPr="00C24EE5">
        <w:rPr>
          <w:lang w:val="en-GB"/>
        </w:rPr>
        <w:t>Domar</w:t>
      </w:r>
      <w:proofErr w:type="spellEnd"/>
      <w:r w:rsidRPr="00C24EE5">
        <w:rPr>
          <w:lang w:val="en-GB"/>
        </w:rPr>
        <w:t xml:space="preserve"> factor suggests undervaluation of the productivity of Spanish provinces in manufacturing and construction with the value added approach.</w:t>
      </w:r>
    </w:p>
    <w:p w:rsidR="00C24EE5" w:rsidRPr="00C24EE5" w:rsidRDefault="00C24EE5" w:rsidP="00C24EE5">
      <w:pPr>
        <w:spacing w:before="120" w:after="120" w:line="360" w:lineRule="auto"/>
        <w:jc w:val="both"/>
        <w:rPr>
          <w:lang w:val="en-GB"/>
        </w:rPr>
      </w:pPr>
      <w:r>
        <w:rPr>
          <w:lang w:val="en-GB"/>
        </w:rPr>
        <w:t xml:space="preserve">Additional analysis of manufacturing at the regional level, for the 17 Spanish Autonomous Communities with </w:t>
      </w:r>
      <w:r w:rsidR="00763908">
        <w:rPr>
          <w:lang w:val="en-GB"/>
        </w:rPr>
        <w:t>sub</w:t>
      </w:r>
      <w:r>
        <w:rPr>
          <w:lang w:val="en-GB"/>
        </w:rPr>
        <w:t xml:space="preserve">sector disaggregation </w:t>
      </w:r>
      <w:r w:rsidR="00763908">
        <w:rPr>
          <w:lang w:val="en-GB"/>
        </w:rPr>
        <w:t>confirms, on average, the province results with size variables in levels. On the contrary, there is the opposite result with the size variables in density form, although with low statistical significance. The results can vary greatly among manufacturing sectors.</w:t>
      </w:r>
    </w:p>
    <w:p w:rsidR="006F24E2" w:rsidRDefault="00C24EE5" w:rsidP="00C24EE5">
      <w:pPr>
        <w:spacing w:before="120" w:after="120" w:line="360" w:lineRule="auto"/>
        <w:jc w:val="both"/>
        <w:rPr>
          <w:lang w:val="en-GB"/>
        </w:rPr>
      </w:pPr>
      <w:r w:rsidRPr="00C24EE5">
        <w:rPr>
          <w:lang w:val="en-GB"/>
        </w:rPr>
        <w:t>The previous results suggest that the price and quantity effects of thick input markets can differ greatly among sectors, affecting measurement. In addition, we suggest that some theoretical developments beginning with the same functional form (Cobb-Douglas or CES) for the different regions are not accurate, because similar to intermediate consumption, labour shares are probably related  to city size, due to thick input and thick labour markets.</w:t>
      </w:r>
    </w:p>
    <w:p w:rsidR="001D4E02" w:rsidRPr="006F24E2" w:rsidRDefault="001D4E02" w:rsidP="00C24EE5">
      <w:pPr>
        <w:spacing w:before="120" w:after="120" w:line="360" w:lineRule="auto"/>
        <w:jc w:val="both"/>
        <w:rPr>
          <w:lang w:val="en-GB"/>
        </w:rPr>
      </w:pPr>
    </w:p>
    <w:p w:rsidR="00414FAA" w:rsidRDefault="00414FAA" w:rsidP="00787F68">
      <w:pPr>
        <w:spacing w:line="360" w:lineRule="auto"/>
        <w:jc w:val="both"/>
        <w:rPr>
          <w:lang w:val="en-US"/>
        </w:rPr>
      </w:pPr>
      <w:r w:rsidRPr="00C24EE5">
        <w:rPr>
          <w:b/>
          <w:lang w:val="en-US"/>
        </w:rPr>
        <w:t>Bibliography</w:t>
      </w:r>
      <w:r w:rsidRPr="00414FAA">
        <w:rPr>
          <w:lang w:val="en-US"/>
        </w:rPr>
        <w:t xml:space="preserve"> </w:t>
      </w:r>
    </w:p>
    <w:p w:rsidR="00C24EE5" w:rsidRPr="00414FAA" w:rsidRDefault="00C24EE5" w:rsidP="00787F68">
      <w:pPr>
        <w:spacing w:line="360" w:lineRule="auto"/>
        <w:jc w:val="both"/>
        <w:rPr>
          <w:lang w:val="en-US"/>
        </w:rPr>
      </w:pPr>
    </w:p>
    <w:p w:rsidR="001D4E02" w:rsidRPr="001D4E02" w:rsidRDefault="001D4E02" w:rsidP="001D4E02">
      <w:pPr>
        <w:spacing w:line="360" w:lineRule="auto"/>
        <w:ind w:left="709" w:hanging="709"/>
        <w:jc w:val="both"/>
        <w:rPr>
          <w:lang w:val="en-GB"/>
        </w:rPr>
      </w:pPr>
      <w:proofErr w:type="spellStart"/>
      <w:r w:rsidRPr="001D4E02">
        <w:rPr>
          <w:lang w:val="en-GB"/>
        </w:rPr>
        <w:t>Alcaide</w:t>
      </w:r>
      <w:proofErr w:type="spellEnd"/>
      <w:r w:rsidRPr="001D4E02">
        <w:rPr>
          <w:lang w:val="en-GB"/>
        </w:rPr>
        <w:t xml:space="preserve"> </w:t>
      </w:r>
      <w:proofErr w:type="spellStart"/>
      <w:r w:rsidRPr="001D4E02">
        <w:rPr>
          <w:lang w:val="en-GB"/>
        </w:rPr>
        <w:t>Inchausti</w:t>
      </w:r>
      <w:proofErr w:type="spellEnd"/>
      <w:r w:rsidRPr="001D4E02">
        <w:rPr>
          <w:lang w:val="en-GB"/>
        </w:rPr>
        <w:t xml:space="preserve">, J., and </w:t>
      </w:r>
      <w:proofErr w:type="spellStart"/>
      <w:r w:rsidRPr="001D4E02">
        <w:rPr>
          <w:lang w:val="en-GB"/>
        </w:rPr>
        <w:t>Alcaide</w:t>
      </w:r>
      <w:proofErr w:type="spellEnd"/>
      <w:r w:rsidRPr="001D4E02">
        <w:rPr>
          <w:lang w:val="en-GB"/>
        </w:rPr>
        <w:t xml:space="preserve"> </w:t>
      </w:r>
      <w:proofErr w:type="spellStart"/>
      <w:r w:rsidRPr="001D4E02">
        <w:rPr>
          <w:lang w:val="en-GB"/>
        </w:rPr>
        <w:t>Guindo</w:t>
      </w:r>
      <w:proofErr w:type="spellEnd"/>
      <w:r w:rsidRPr="001D4E02">
        <w:rPr>
          <w:lang w:val="en-GB"/>
        </w:rPr>
        <w:t>, P, (2000)</w:t>
      </w:r>
      <w:r>
        <w:rPr>
          <w:lang w:val="en-GB"/>
        </w:rPr>
        <w:t>:</w:t>
      </w:r>
      <w:r w:rsidRPr="001D4E02">
        <w:rPr>
          <w:lang w:val="en-GB"/>
        </w:rPr>
        <w:t xml:space="preserve"> </w:t>
      </w:r>
      <w:r w:rsidRPr="001D4E02">
        <w:rPr>
          <w:i/>
          <w:lang w:val="en-GB"/>
        </w:rPr>
        <w:t xml:space="preserve">Magnitudes </w:t>
      </w:r>
      <w:proofErr w:type="spellStart"/>
      <w:r w:rsidRPr="001D4E02">
        <w:rPr>
          <w:i/>
          <w:lang w:val="en-GB"/>
        </w:rPr>
        <w:t>económicas</w:t>
      </w:r>
      <w:proofErr w:type="spellEnd"/>
      <w:r w:rsidRPr="001D4E02">
        <w:rPr>
          <w:i/>
          <w:lang w:val="en-GB"/>
        </w:rPr>
        <w:t xml:space="preserve"> </w:t>
      </w:r>
      <w:proofErr w:type="spellStart"/>
      <w:r w:rsidRPr="001D4E02">
        <w:rPr>
          <w:i/>
          <w:lang w:val="en-GB"/>
        </w:rPr>
        <w:t>provinciales</w:t>
      </w:r>
      <w:proofErr w:type="spellEnd"/>
      <w:r w:rsidRPr="001D4E02">
        <w:rPr>
          <w:i/>
          <w:lang w:val="en-GB"/>
        </w:rPr>
        <w:t xml:space="preserve">. </w:t>
      </w:r>
      <w:proofErr w:type="spellStart"/>
      <w:r w:rsidRPr="001D4E02">
        <w:rPr>
          <w:i/>
          <w:lang w:val="en-GB"/>
        </w:rPr>
        <w:t>Años</w:t>
      </w:r>
      <w:proofErr w:type="spellEnd"/>
      <w:r w:rsidRPr="001D4E02">
        <w:rPr>
          <w:i/>
          <w:lang w:val="en-GB"/>
        </w:rPr>
        <w:t xml:space="preserve"> 1985 a 1999</w:t>
      </w:r>
      <w:r w:rsidRPr="001D4E02">
        <w:rPr>
          <w:lang w:val="en-GB"/>
        </w:rPr>
        <w:t xml:space="preserve">. Madrid: </w:t>
      </w:r>
      <w:proofErr w:type="spellStart"/>
      <w:r w:rsidRPr="001D4E02">
        <w:rPr>
          <w:lang w:val="en-GB"/>
        </w:rPr>
        <w:t>Fundación</w:t>
      </w:r>
      <w:proofErr w:type="spellEnd"/>
      <w:r w:rsidRPr="001D4E02">
        <w:rPr>
          <w:lang w:val="en-GB"/>
        </w:rPr>
        <w:t xml:space="preserve"> de </w:t>
      </w:r>
      <w:proofErr w:type="spellStart"/>
      <w:r w:rsidRPr="001D4E02">
        <w:rPr>
          <w:lang w:val="en-GB"/>
        </w:rPr>
        <w:t>las</w:t>
      </w:r>
      <w:proofErr w:type="spellEnd"/>
      <w:r w:rsidRPr="001D4E02">
        <w:rPr>
          <w:lang w:val="en-GB"/>
        </w:rPr>
        <w:t xml:space="preserve"> </w:t>
      </w:r>
      <w:proofErr w:type="spellStart"/>
      <w:r w:rsidRPr="001D4E02">
        <w:rPr>
          <w:lang w:val="en-GB"/>
        </w:rPr>
        <w:t>Cajas</w:t>
      </w:r>
      <w:proofErr w:type="spellEnd"/>
      <w:r w:rsidRPr="001D4E02">
        <w:rPr>
          <w:lang w:val="en-GB"/>
        </w:rPr>
        <w:t xml:space="preserve"> de </w:t>
      </w:r>
      <w:proofErr w:type="spellStart"/>
      <w:r w:rsidRPr="001D4E02">
        <w:rPr>
          <w:lang w:val="en-GB"/>
        </w:rPr>
        <w:t>Ahorros</w:t>
      </w:r>
      <w:proofErr w:type="spellEnd"/>
      <w:r w:rsidRPr="001D4E02">
        <w:rPr>
          <w:lang w:val="en-GB"/>
        </w:rPr>
        <w:t xml:space="preserve"> </w:t>
      </w:r>
      <w:proofErr w:type="spellStart"/>
      <w:r w:rsidRPr="001D4E02">
        <w:rPr>
          <w:lang w:val="en-GB"/>
        </w:rPr>
        <w:t>Confederadas</w:t>
      </w:r>
      <w:proofErr w:type="spellEnd"/>
      <w:r w:rsidRPr="001D4E02">
        <w:rPr>
          <w:lang w:val="en-GB"/>
        </w:rPr>
        <w:t xml:space="preserve"> (FUNCAS)</w:t>
      </w:r>
    </w:p>
    <w:p w:rsidR="001D4E02" w:rsidRPr="001D4E02" w:rsidRDefault="001D4E02" w:rsidP="001D4E02">
      <w:pPr>
        <w:spacing w:line="360" w:lineRule="auto"/>
        <w:ind w:left="709" w:hanging="709"/>
        <w:jc w:val="both"/>
        <w:rPr>
          <w:lang w:val="en-GB"/>
        </w:rPr>
      </w:pPr>
      <w:r w:rsidRPr="001D4E02">
        <w:rPr>
          <w:lang w:val="en-GB"/>
        </w:rPr>
        <w:t xml:space="preserve">Alvarez, A., Arias, C, and </w:t>
      </w:r>
      <w:proofErr w:type="spellStart"/>
      <w:r w:rsidRPr="001D4E02">
        <w:rPr>
          <w:lang w:val="en-GB"/>
        </w:rPr>
        <w:t>Orea</w:t>
      </w:r>
      <w:proofErr w:type="spellEnd"/>
      <w:r w:rsidRPr="001D4E02">
        <w:rPr>
          <w:lang w:val="en-GB"/>
        </w:rPr>
        <w:t>, L, (2006)</w:t>
      </w:r>
      <w:r>
        <w:rPr>
          <w:lang w:val="en-GB"/>
        </w:rPr>
        <w:t>:</w:t>
      </w:r>
      <w:r w:rsidRPr="001D4E02">
        <w:rPr>
          <w:lang w:val="en-GB"/>
        </w:rPr>
        <w:t xml:space="preserve"> </w:t>
      </w:r>
      <w:r>
        <w:rPr>
          <w:lang w:val="en-GB"/>
        </w:rPr>
        <w:t>"</w:t>
      </w:r>
      <w:r w:rsidRPr="001D4E02">
        <w:rPr>
          <w:lang w:val="en-GB"/>
        </w:rPr>
        <w:t xml:space="preserve">Econometric testing of spatial productivity </w:t>
      </w:r>
      <w:proofErr w:type="spellStart"/>
      <w:r w:rsidRPr="001D4E02">
        <w:rPr>
          <w:lang w:val="en-GB"/>
        </w:rPr>
        <w:t>spillovers</w:t>
      </w:r>
      <w:proofErr w:type="spellEnd"/>
      <w:r w:rsidRPr="001D4E02">
        <w:rPr>
          <w:lang w:val="en-GB"/>
        </w:rPr>
        <w:t xml:space="preserve"> from public capital</w:t>
      </w:r>
      <w:r>
        <w:rPr>
          <w:lang w:val="en-GB"/>
        </w:rPr>
        <w:t>"</w:t>
      </w:r>
      <w:r w:rsidR="00101398">
        <w:rPr>
          <w:lang w:val="en-GB"/>
        </w:rPr>
        <w:t>,</w:t>
      </w:r>
      <w:r w:rsidRPr="001D4E02">
        <w:rPr>
          <w:lang w:val="en-GB"/>
        </w:rPr>
        <w:t xml:space="preserve"> </w:t>
      </w:r>
      <w:r w:rsidRPr="001D4E02">
        <w:rPr>
          <w:i/>
          <w:lang w:val="en-GB"/>
        </w:rPr>
        <w:t xml:space="preserve">Hacienda </w:t>
      </w:r>
      <w:proofErr w:type="spellStart"/>
      <w:r w:rsidRPr="001D4E02">
        <w:rPr>
          <w:i/>
          <w:lang w:val="en-GB"/>
        </w:rPr>
        <w:t>Pública</w:t>
      </w:r>
      <w:proofErr w:type="spellEnd"/>
      <w:r w:rsidRPr="001D4E02">
        <w:rPr>
          <w:i/>
          <w:lang w:val="en-GB"/>
        </w:rPr>
        <w:t xml:space="preserve"> </w:t>
      </w:r>
      <w:proofErr w:type="spellStart"/>
      <w:r w:rsidRPr="001D4E02">
        <w:rPr>
          <w:i/>
          <w:lang w:val="en-GB"/>
        </w:rPr>
        <w:t>Española</w:t>
      </w:r>
      <w:proofErr w:type="spellEnd"/>
      <w:r w:rsidRPr="001D4E02">
        <w:rPr>
          <w:i/>
          <w:lang w:val="en-GB"/>
        </w:rPr>
        <w:t>/</w:t>
      </w:r>
      <w:proofErr w:type="spellStart"/>
      <w:r w:rsidRPr="001D4E02">
        <w:rPr>
          <w:i/>
          <w:lang w:val="en-GB"/>
        </w:rPr>
        <w:t>Revista</w:t>
      </w:r>
      <w:proofErr w:type="spellEnd"/>
      <w:r w:rsidRPr="001D4E02">
        <w:rPr>
          <w:i/>
          <w:lang w:val="en-GB"/>
        </w:rPr>
        <w:t xml:space="preserve"> de </w:t>
      </w:r>
      <w:proofErr w:type="spellStart"/>
      <w:r w:rsidRPr="001D4E02">
        <w:rPr>
          <w:i/>
          <w:lang w:val="en-GB"/>
        </w:rPr>
        <w:t>Economía</w:t>
      </w:r>
      <w:proofErr w:type="spellEnd"/>
      <w:r w:rsidRPr="001D4E02">
        <w:rPr>
          <w:i/>
          <w:lang w:val="en-GB"/>
        </w:rPr>
        <w:t xml:space="preserve"> </w:t>
      </w:r>
      <w:proofErr w:type="spellStart"/>
      <w:r w:rsidRPr="001D4E02">
        <w:rPr>
          <w:i/>
          <w:lang w:val="en-GB"/>
        </w:rPr>
        <w:t>Pública</w:t>
      </w:r>
      <w:proofErr w:type="spellEnd"/>
      <w:r w:rsidRPr="001D4E02">
        <w:rPr>
          <w:lang w:val="en-GB"/>
        </w:rPr>
        <w:t xml:space="preserve">, </w:t>
      </w:r>
      <w:r>
        <w:rPr>
          <w:lang w:val="en-GB"/>
        </w:rPr>
        <w:t>nº</w:t>
      </w:r>
      <w:r w:rsidRPr="001D4E02">
        <w:rPr>
          <w:lang w:val="en-GB"/>
        </w:rPr>
        <w:t xml:space="preserve">178, </w:t>
      </w:r>
      <w:r>
        <w:rPr>
          <w:lang w:val="en-GB"/>
        </w:rPr>
        <w:t>p.</w:t>
      </w:r>
      <w:r w:rsidRPr="001D4E02">
        <w:rPr>
          <w:lang w:val="en-GB"/>
        </w:rPr>
        <w:t>9-21.</w:t>
      </w:r>
    </w:p>
    <w:p w:rsidR="001D4E02" w:rsidRPr="001D4E02" w:rsidRDefault="001D4E02" w:rsidP="001D4E02">
      <w:pPr>
        <w:spacing w:line="360" w:lineRule="auto"/>
        <w:ind w:left="709" w:hanging="709"/>
        <w:jc w:val="both"/>
        <w:rPr>
          <w:lang w:val="en-GB"/>
        </w:rPr>
      </w:pPr>
      <w:r w:rsidRPr="001D4E02">
        <w:rPr>
          <w:lang w:val="en-GB"/>
        </w:rPr>
        <w:lastRenderedPageBreak/>
        <w:t>Balk, B.M. (2009)</w:t>
      </w:r>
      <w:r>
        <w:rPr>
          <w:lang w:val="en-GB"/>
        </w:rPr>
        <w:t>:</w:t>
      </w:r>
      <w:r w:rsidRPr="001D4E02">
        <w:rPr>
          <w:lang w:val="en-GB"/>
        </w:rPr>
        <w:t xml:space="preserve"> </w:t>
      </w:r>
      <w:r>
        <w:rPr>
          <w:lang w:val="en-GB"/>
        </w:rPr>
        <w:t>"</w:t>
      </w:r>
      <w:r w:rsidRPr="001D4E02">
        <w:rPr>
          <w:lang w:val="en-GB"/>
        </w:rPr>
        <w:t xml:space="preserve">On the relation between gross output- and value added- based productivity measures: the importance of the </w:t>
      </w:r>
      <w:proofErr w:type="spellStart"/>
      <w:r w:rsidRPr="001D4E02">
        <w:rPr>
          <w:lang w:val="en-GB"/>
        </w:rPr>
        <w:t>Domar</w:t>
      </w:r>
      <w:proofErr w:type="spellEnd"/>
      <w:r w:rsidRPr="001D4E02">
        <w:rPr>
          <w:lang w:val="en-GB"/>
        </w:rPr>
        <w:t xml:space="preserve"> Factor</w:t>
      </w:r>
      <w:r w:rsidR="00101398">
        <w:rPr>
          <w:lang w:val="en-GB"/>
        </w:rPr>
        <w:t>",</w:t>
      </w:r>
      <w:r w:rsidRPr="001D4E02">
        <w:rPr>
          <w:lang w:val="en-GB"/>
        </w:rPr>
        <w:t xml:space="preserve"> </w:t>
      </w:r>
      <w:r w:rsidRPr="00101398">
        <w:rPr>
          <w:i/>
          <w:lang w:val="en-GB"/>
        </w:rPr>
        <w:t>Macroeconomic Dynamics</w:t>
      </w:r>
      <w:r w:rsidRPr="001D4E02">
        <w:rPr>
          <w:lang w:val="en-GB"/>
        </w:rPr>
        <w:t xml:space="preserve">, </w:t>
      </w:r>
      <w:r w:rsidR="00101398">
        <w:rPr>
          <w:lang w:val="en-GB"/>
        </w:rPr>
        <w:t>nº</w:t>
      </w:r>
      <w:r w:rsidRPr="001D4E02">
        <w:rPr>
          <w:lang w:val="en-GB"/>
        </w:rPr>
        <w:t xml:space="preserve">13(S2), </w:t>
      </w:r>
      <w:r w:rsidR="00101398">
        <w:rPr>
          <w:lang w:val="en-GB"/>
        </w:rPr>
        <w:t>p.</w:t>
      </w:r>
      <w:r w:rsidRPr="001D4E02">
        <w:rPr>
          <w:lang w:val="en-GB"/>
        </w:rPr>
        <w:t>241–267</w:t>
      </w:r>
      <w:r w:rsidR="00101398">
        <w:rPr>
          <w:lang w:val="en-GB"/>
        </w:rPr>
        <w:t>.</w:t>
      </w:r>
    </w:p>
    <w:p w:rsidR="001D4E02" w:rsidRPr="001D4E02" w:rsidRDefault="001D4E02" w:rsidP="001D4E02">
      <w:pPr>
        <w:spacing w:line="360" w:lineRule="auto"/>
        <w:ind w:left="709" w:hanging="709"/>
        <w:jc w:val="both"/>
        <w:rPr>
          <w:lang w:val="en-GB"/>
        </w:rPr>
      </w:pPr>
      <w:r w:rsidRPr="001D4E02">
        <w:rPr>
          <w:lang w:val="en-GB"/>
        </w:rPr>
        <w:t>Bruno, M. (1978)</w:t>
      </w:r>
      <w:r w:rsidR="00101398">
        <w:rPr>
          <w:lang w:val="en-GB"/>
        </w:rPr>
        <w:t>:</w:t>
      </w:r>
      <w:r w:rsidRPr="001D4E02">
        <w:rPr>
          <w:lang w:val="en-GB"/>
        </w:rPr>
        <w:t xml:space="preserve"> </w:t>
      </w:r>
      <w:r w:rsidR="00101398">
        <w:rPr>
          <w:lang w:val="en-GB"/>
        </w:rPr>
        <w:t>"</w:t>
      </w:r>
      <w:r w:rsidRPr="001D4E02">
        <w:rPr>
          <w:lang w:val="en-GB"/>
        </w:rPr>
        <w:t>Duality, intermediate inputs and value-added</w:t>
      </w:r>
      <w:r w:rsidR="00101398">
        <w:rPr>
          <w:lang w:val="en-GB"/>
        </w:rPr>
        <w:t>"</w:t>
      </w:r>
      <w:r w:rsidRPr="001D4E02">
        <w:rPr>
          <w:lang w:val="en-GB"/>
        </w:rPr>
        <w:t xml:space="preserve">. In M. Fuss &amp; D. McFadden (Eds.), </w:t>
      </w:r>
      <w:r w:rsidRPr="00101398">
        <w:rPr>
          <w:i/>
          <w:lang w:val="en-GB"/>
        </w:rPr>
        <w:t>Production Economics: A Dual Approach to Theory and Applications Volume 2</w:t>
      </w:r>
      <w:r w:rsidR="00101398">
        <w:rPr>
          <w:lang w:val="en-GB"/>
        </w:rPr>
        <w:t xml:space="preserve">, </w:t>
      </w:r>
      <w:r w:rsidRPr="001D4E02">
        <w:rPr>
          <w:lang w:val="en-GB"/>
        </w:rPr>
        <w:t>p</w:t>
      </w:r>
      <w:r w:rsidR="00101398">
        <w:rPr>
          <w:lang w:val="en-GB"/>
        </w:rPr>
        <w:t>. 3-16</w:t>
      </w:r>
      <w:r w:rsidRPr="001D4E02">
        <w:rPr>
          <w:lang w:val="en-GB"/>
        </w:rPr>
        <w:t>. Amsterdam: North-Holland.</w:t>
      </w:r>
    </w:p>
    <w:p w:rsidR="001D4E02" w:rsidRPr="001D4E02" w:rsidRDefault="001D4E02" w:rsidP="001D4E02">
      <w:pPr>
        <w:spacing w:line="360" w:lineRule="auto"/>
        <w:ind w:left="709" w:hanging="709"/>
        <w:jc w:val="both"/>
        <w:rPr>
          <w:lang w:val="en-GB"/>
        </w:rPr>
      </w:pPr>
      <w:proofErr w:type="spellStart"/>
      <w:r w:rsidRPr="001D4E02">
        <w:rPr>
          <w:lang w:val="en-GB"/>
        </w:rPr>
        <w:t>Ciccone</w:t>
      </w:r>
      <w:proofErr w:type="spellEnd"/>
      <w:r w:rsidRPr="001D4E02">
        <w:rPr>
          <w:lang w:val="en-GB"/>
        </w:rPr>
        <w:t>, A., and Hall, R.E. (1996)</w:t>
      </w:r>
      <w:r w:rsidR="00101398">
        <w:rPr>
          <w:lang w:val="en-GB"/>
        </w:rPr>
        <w:t>:</w:t>
      </w:r>
      <w:r w:rsidRPr="001D4E02">
        <w:rPr>
          <w:lang w:val="en-GB"/>
        </w:rPr>
        <w:t xml:space="preserve"> </w:t>
      </w:r>
      <w:r w:rsidR="00101398">
        <w:rPr>
          <w:lang w:val="en-GB"/>
        </w:rPr>
        <w:t>"</w:t>
      </w:r>
      <w:r w:rsidRPr="001D4E02">
        <w:rPr>
          <w:lang w:val="en-GB"/>
        </w:rPr>
        <w:t>Productivity and the Density of Economic Activity</w:t>
      </w:r>
      <w:r w:rsidR="00101398">
        <w:rPr>
          <w:lang w:val="en-GB"/>
        </w:rPr>
        <w:t xml:space="preserve">", </w:t>
      </w:r>
      <w:r w:rsidRPr="00101398">
        <w:rPr>
          <w:i/>
          <w:lang w:val="en-GB"/>
        </w:rPr>
        <w:t>American Economic Review</w:t>
      </w:r>
      <w:r w:rsidRPr="001D4E02">
        <w:rPr>
          <w:lang w:val="en-GB"/>
        </w:rPr>
        <w:t xml:space="preserve">, </w:t>
      </w:r>
      <w:r w:rsidR="00101398">
        <w:rPr>
          <w:lang w:val="en-GB"/>
        </w:rPr>
        <w:t>nº</w:t>
      </w:r>
      <w:r w:rsidR="00101398" w:rsidRPr="001D4E02">
        <w:rPr>
          <w:lang w:val="en-GB"/>
        </w:rPr>
        <w:t xml:space="preserve"> </w:t>
      </w:r>
      <w:r w:rsidRPr="001D4E02">
        <w:rPr>
          <w:lang w:val="en-GB"/>
        </w:rPr>
        <w:t xml:space="preserve">86(1), </w:t>
      </w:r>
      <w:r w:rsidR="00101398" w:rsidRPr="00795CEF">
        <w:rPr>
          <w:lang w:val="en-GB"/>
        </w:rPr>
        <w:t>p.</w:t>
      </w:r>
      <w:r w:rsidRPr="001D4E02">
        <w:rPr>
          <w:lang w:val="en-GB"/>
        </w:rPr>
        <w:t>54–70.</w:t>
      </w:r>
    </w:p>
    <w:p w:rsidR="001D4E02" w:rsidRPr="001D4E02" w:rsidRDefault="001D4E02" w:rsidP="001D4E02">
      <w:pPr>
        <w:spacing w:line="360" w:lineRule="auto"/>
        <w:ind w:left="709" w:hanging="709"/>
        <w:jc w:val="both"/>
        <w:rPr>
          <w:lang w:val="en-GB"/>
        </w:rPr>
      </w:pPr>
      <w:r w:rsidRPr="001D4E02">
        <w:rPr>
          <w:lang w:val="en-GB"/>
        </w:rPr>
        <w:t>Cohen , J.P., and  Morrison Paul, C.J. (2009)</w:t>
      </w:r>
      <w:r w:rsidR="00101398">
        <w:rPr>
          <w:lang w:val="en-GB"/>
        </w:rPr>
        <w:t>:</w:t>
      </w:r>
      <w:r w:rsidRPr="001D4E02">
        <w:rPr>
          <w:lang w:val="en-GB"/>
        </w:rPr>
        <w:t xml:space="preserve"> Agglomeration, productivity and regional growth: production theory approaches. In R. </w:t>
      </w:r>
      <w:proofErr w:type="spellStart"/>
      <w:r w:rsidRPr="001D4E02">
        <w:rPr>
          <w:lang w:val="en-GB"/>
        </w:rPr>
        <w:t>Capello</w:t>
      </w:r>
      <w:proofErr w:type="spellEnd"/>
      <w:r w:rsidRPr="001D4E02">
        <w:rPr>
          <w:lang w:val="en-GB"/>
        </w:rPr>
        <w:t xml:space="preserve"> &amp; P. </w:t>
      </w:r>
      <w:proofErr w:type="spellStart"/>
      <w:r w:rsidRPr="001D4E02">
        <w:rPr>
          <w:lang w:val="en-GB"/>
        </w:rPr>
        <w:t>Nijkamp</w:t>
      </w:r>
      <w:proofErr w:type="spellEnd"/>
      <w:r w:rsidRPr="001D4E02">
        <w:rPr>
          <w:lang w:val="en-GB"/>
        </w:rPr>
        <w:t xml:space="preserve"> (Eds.) </w:t>
      </w:r>
      <w:r w:rsidRPr="00101398">
        <w:rPr>
          <w:i/>
          <w:lang w:val="en-GB"/>
        </w:rPr>
        <w:t>Handbook of Regional Growth and Development Theories</w:t>
      </w:r>
      <w:r w:rsidR="00101398">
        <w:rPr>
          <w:lang w:val="en-GB"/>
        </w:rPr>
        <w:t>,</w:t>
      </w:r>
      <w:r w:rsidRPr="001D4E02">
        <w:rPr>
          <w:lang w:val="en-GB"/>
        </w:rPr>
        <w:t xml:space="preserve"> </w:t>
      </w:r>
      <w:r w:rsidR="00101398" w:rsidRPr="00795CEF">
        <w:rPr>
          <w:lang w:val="en-GB"/>
        </w:rPr>
        <w:t>p.</w:t>
      </w:r>
      <w:r w:rsidRPr="001D4E02">
        <w:rPr>
          <w:lang w:val="en-GB"/>
        </w:rPr>
        <w:t>101-117. Cheltenham: Edward Elgar.</w:t>
      </w:r>
    </w:p>
    <w:p w:rsidR="001D4E02" w:rsidRPr="001D4E02" w:rsidRDefault="001D4E02" w:rsidP="001D4E02">
      <w:pPr>
        <w:spacing w:line="360" w:lineRule="auto"/>
        <w:ind w:left="709" w:hanging="709"/>
        <w:jc w:val="both"/>
        <w:rPr>
          <w:lang w:val="en-GB"/>
        </w:rPr>
      </w:pPr>
      <w:proofErr w:type="spellStart"/>
      <w:r w:rsidRPr="001D4E02">
        <w:rPr>
          <w:lang w:val="en-GB"/>
        </w:rPr>
        <w:t>Combes</w:t>
      </w:r>
      <w:proofErr w:type="spellEnd"/>
      <w:r w:rsidRPr="001D4E02">
        <w:rPr>
          <w:lang w:val="en-GB"/>
        </w:rPr>
        <w:t xml:space="preserve">, P. P., </w:t>
      </w:r>
      <w:proofErr w:type="spellStart"/>
      <w:r w:rsidRPr="001D4E02">
        <w:rPr>
          <w:lang w:val="en-GB"/>
        </w:rPr>
        <w:t>Duranton</w:t>
      </w:r>
      <w:proofErr w:type="spellEnd"/>
      <w:r w:rsidRPr="001D4E02">
        <w:rPr>
          <w:lang w:val="en-GB"/>
        </w:rPr>
        <w:t xml:space="preserve">, G., </w:t>
      </w:r>
      <w:proofErr w:type="spellStart"/>
      <w:r w:rsidRPr="001D4E02">
        <w:rPr>
          <w:lang w:val="en-GB"/>
        </w:rPr>
        <w:t>Gobillon</w:t>
      </w:r>
      <w:proofErr w:type="spellEnd"/>
      <w:r w:rsidRPr="001D4E02">
        <w:rPr>
          <w:lang w:val="en-GB"/>
        </w:rPr>
        <w:t xml:space="preserve">, L.,  </w:t>
      </w:r>
      <w:proofErr w:type="spellStart"/>
      <w:r w:rsidRPr="001D4E02">
        <w:rPr>
          <w:lang w:val="en-GB"/>
        </w:rPr>
        <w:t>Puga</w:t>
      </w:r>
      <w:proofErr w:type="spellEnd"/>
      <w:r w:rsidRPr="001D4E02">
        <w:rPr>
          <w:lang w:val="en-GB"/>
        </w:rPr>
        <w:t>, D.,  and Roux, S. (2012)</w:t>
      </w:r>
      <w:r w:rsidR="00101398">
        <w:rPr>
          <w:lang w:val="en-GB"/>
        </w:rPr>
        <w:t>:</w:t>
      </w:r>
      <w:r w:rsidRPr="001D4E02">
        <w:rPr>
          <w:lang w:val="en-GB"/>
        </w:rPr>
        <w:t xml:space="preserve"> </w:t>
      </w:r>
      <w:r w:rsidR="00101398">
        <w:rPr>
          <w:lang w:val="en-GB"/>
        </w:rPr>
        <w:t>"</w:t>
      </w:r>
      <w:r w:rsidRPr="001D4E02">
        <w:rPr>
          <w:lang w:val="en-GB"/>
        </w:rPr>
        <w:t>The Productivity Advantages of Large Cities: Distinguishing Agglomeration from Firm Selection</w:t>
      </w:r>
      <w:r w:rsidR="00101398">
        <w:rPr>
          <w:lang w:val="en-GB"/>
        </w:rPr>
        <w:t>",</w:t>
      </w:r>
      <w:r w:rsidRPr="001D4E02">
        <w:rPr>
          <w:lang w:val="en-GB"/>
        </w:rPr>
        <w:t xml:space="preserve"> </w:t>
      </w:r>
      <w:proofErr w:type="spellStart"/>
      <w:r w:rsidRPr="00101398">
        <w:rPr>
          <w:i/>
          <w:lang w:val="en-GB"/>
        </w:rPr>
        <w:t>Econometrica</w:t>
      </w:r>
      <w:proofErr w:type="spellEnd"/>
      <w:r w:rsidRPr="001D4E02">
        <w:rPr>
          <w:lang w:val="en-GB"/>
        </w:rPr>
        <w:t xml:space="preserve">, </w:t>
      </w:r>
      <w:r w:rsidR="00101398">
        <w:rPr>
          <w:lang w:val="en-GB"/>
        </w:rPr>
        <w:t>nº</w:t>
      </w:r>
      <w:r w:rsidR="00101398" w:rsidRPr="001D4E02">
        <w:rPr>
          <w:lang w:val="en-GB"/>
        </w:rPr>
        <w:t xml:space="preserve"> </w:t>
      </w:r>
      <w:r w:rsidRPr="001D4E02">
        <w:rPr>
          <w:lang w:val="en-GB"/>
        </w:rPr>
        <w:t xml:space="preserve">80(6), </w:t>
      </w:r>
      <w:r w:rsidR="00101398" w:rsidRPr="00795CEF">
        <w:rPr>
          <w:lang w:val="en-GB"/>
        </w:rPr>
        <w:t>p.</w:t>
      </w:r>
      <w:r w:rsidRPr="001D4E02">
        <w:rPr>
          <w:lang w:val="en-GB"/>
        </w:rPr>
        <w:t>2543–94.</w:t>
      </w:r>
    </w:p>
    <w:p w:rsidR="001D4E02" w:rsidRPr="001D4E02" w:rsidRDefault="001D4E02" w:rsidP="001D4E02">
      <w:pPr>
        <w:spacing w:line="360" w:lineRule="auto"/>
        <w:ind w:left="709" w:hanging="709"/>
        <w:jc w:val="both"/>
        <w:rPr>
          <w:lang w:val="en-GB"/>
        </w:rPr>
      </w:pPr>
      <w:proofErr w:type="spellStart"/>
      <w:r w:rsidRPr="001D4E02">
        <w:rPr>
          <w:lang w:val="en-GB"/>
        </w:rPr>
        <w:t>Combes</w:t>
      </w:r>
      <w:proofErr w:type="spellEnd"/>
      <w:r w:rsidRPr="001D4E02">
        <w:rPr>
          <w:lang w:val="en-GB"/>
        </w:rPr>
        <w:t xml:space="preserve"> PP, </w:t>
      </w:r>
      <w:proofErr w:type="spellStart"/>
      <w:r w:rsidRPr="001D4E02">
        <w:rPr>
          <w:lang w:val="en-GB"/>
        </w:rPr>
        <w:t>Gobillon</w:t>
      </w:r>
      <w:proofErr w:type="spellEnd"/>
      <w:r w:rsidRPr="001D4E02">
        <w:rPr>
          <w:lang w:val="en-GB"/>
        </w:rPr>
        <w:t xml:space="preserve"> L. </w:t>
      </w:r>
      <w:r w:rsidR="008A76D0">
        <w:rPr>
          <w:lang w:val="en-GB"/>
        </w:rPr>
        <w:t>(2015): "</w:t>
      </w:r>
      <w:r w:rsidRPr="001D4E02">
        <w:rPr>
          <w:lang w:val="en-GB"/>
        </w:rPr>
        <w:t>The empirics of agglomeration economies</w:t>
      </w:r>
      <w:r w:rsidR="008A76D0">
        <w:rPr>
          <w:lang w:val="en-GB"/>
        </w:rPr>
        <w:t>"</w:t>
      </w:r>
      <w:r w:rsidRPr="001D4E02">
        <w:rPr>
          <w:lang w:val="en-GB"/>
        </w:rPr>
        <w:t xml:space="preserve">. In: </w:t>
      </w:r>
      <w:proofErr w:type="spellStart"/>
      <w:r w:rsidRPr="001D4E02">
        <w:rPr>
          <w:lang w:val="en-GB"/>
        </w:rPr>
        <w:t>Duranton</w:t>
      </w:r>
      <w:proofErr w:type="spellEnd"/>
      <w:r w:rsidRPr="001D4E02">
        <w:rPr>
          <w:lang w:val="en-GB"/>
        </w:rPr>
        <w:t xml:space="preserve"> G, Henderson JV, Strange W, </w:t>
      </w:r>
      <w:r w:rsidR="008A76D0">
        <w:rPr>
          <w:lang w:val="en-GB"/>
        </w:rPr>
        <w:t>(</w:t>
      </w:r>
      <w:proofErr w:type="spellStart"/>
      <w:r w:rsidR="008A76D0">
        <w:rPr>
          <w:lang w:val="en-GB"/>
        </w:rPr>
        <w:t>ed</w:t>
      </w:r>
      <w:r w:rsidRPr="001D4E02">
        <w:rPr>
          <w:lang w:val="en-GB"/>
        </w:rPr>
        <w:t>s</w:t>
      </w:r>
      <w:proofErr w:type="spellEnd"/>
      <w:r w:rsidR="008A76D0">
        <w:rPr>
          <w:lang w:val="en-GB"/>
        </w:rPr>
        <w:t>):</w:t>
      </w:r>
      <w:r w:rsidRPr="001D4E02">
        <w:rPr>
          <w:lang w:val="en-GB"/>
        </w:rPr>
        <w:t xml:space="preserve"> </w:t>
      </w:r>
      <w:r w:rsidRPr="008A76D0">
        <w:rPr>
          <w:i/>
          <w:lang w:val="en-GB"/>
        </w:rPr>
        <w:t>Handbook of regional and urban economics, volume 5A</w:t>
      </w:r>
      <w:r w:rsidR="008A76D0">
        <w:rPr>
          <w:lang w:val="en-GB"/>
        </w:rPr>
        <w:t xml:space="preserve">, </w:t>
      </w:r>
      <w:r w:rsidR="008A76D0" w:rsidRPr="001D4E02">
        <w:rPr>
          <w:lang w:val="en-GB"/>
        </w:rPr>
        <w:t>p. 247–348</w:t>
      </w:r>
      <w:r w:rsidR="008A76D0">
        <w:rPr>
          <w:lang w:val="en-GB"/>
        </w:rPr>
        <w:t xml:space="preserve">. </w:t>
      </w:r>
      <w:r w:rsidRPr="001D4E02">
        <w:rPr>
          <w:lang w:val="en-GB"/>
        </w:rPr>
        <w:t xml:space="preserve">Amsterdam: Elsevier </w:t>
      </w:r>
    </w:p>
    <w:p w:rsidR="001D4E02" w:rsidRPr="001D4E02" w:rsidRDefault="001D4E02" w:rsidP="001D4E02">
      <w:pPr>
        <w:spacing w:line="360" w:lineRule="auto"/>
        <w:ind w:left="709" w:hanging="709"/>
        <w:jc w:val="both"/>
        <w:rPr>
          <w:lang w:val="en-GB"/>
        </w:rPr>
      </w:pPr>
      <w:r w:rsidRPr="001D4E02">
        <w:rPr>
          <w:lang w:val="en-GB"/>
        </w:rPr>
        <w:t>Delgado, M.J., and Alvarez, I. (2004)</w:t>
      </w:r>
      <w:r w:rsidR="008A76D0">
        <w:rPr>
          <w:lang w:val="en-GB"/>
        </w:rPr>
        <w:t>: "</w:t>
      </w:r>
      <w:proofErr w:type="spellStart"/>
      <w:r w:rsidRPr="001D4E02">
        <w:rPr>
          <w:lang w:val="en-GB"/>
        </w:rPr>
        <w:t>Infraestructuras</w:t>
      </w:r>
      <w:proofErr w:type="spellEnd"/>
      <w:r w:rsidRPr="001D4E02">
        <w:rPr>
          <w:lang w:val="en-GB"/>
        </w:rPr>
        <w:t xml:space="preserve"> y </w:t>
      </w:r>
      <w:proofErr w:type="spellStart"/>
      <w:r w:rsidRPr="001D4E02">
        <w:rPr>
          <w:lang w:val="en-GB"/>
        </w:rPr>
        <w:t>eficiencia</w:t>
      </w:r>
      <w:proofErr w:type="spellEnd"/>
      <w:r w:rsidRPr="001D4E02">
        <w:rPr>
          <w:lang w:val="en-GB"/>
        </w:rPr>
        <w:t xml:space="preserve"> </w:t>
      </w:r>
      <w:proofErr w:type="spellStart"/>
      <w:r w:rsidRPr="001D4E02">
        <w:rPr>
          <w:lang w:val="en-GB"/>
        </w:rPr>
        <w:t>técnica</w:t>
      </w:r>
      <w:proofErr w:type="spellEnd"/>
      <w:r w:rsidRPr="001D4E02">
        <w:rPr>
          <w:lang w:val="en-GB"/>
        </w:rPr>
        <w:t xml:space="preserve">: un </w:t>
      </w:r>
      <w:proofErr w:type="spellStart"/>
      <w:r w:rsidRPr="001D4E02">
        <w:rPr>
          <w:lang w:val="en-GB"/>
        </w:rPr>
        <w:t>análisis</w:t>
      </w:r>
      <w:proofErr w:type="spellEnd"/>
      <w:r w:rsidRPr="001D4E02">
        <w:rPr>
          <w:lang w:val="en-GB"/>
        </w:rPr>
        <w:t xml:space="preserve"> de </w:t>
      </w:r>
      <w:proofErr w:type="spellStart"/>
      <w:r w:rsidRPr="001D4E02">
        <w:rPr>
          <w:lang w:val="en-GB"/>
        </w:rPr>
        <w:t>fnciones</w:t>
      </w:r>
      <w:proofErr w:type="spellEnd"/>
      <w:r w:rsidRPr="001D4E02">
        <w:rPr>
          <w:lang w:val="en-GB"/>
        </w:rPr>
        <w:t xml:space="preserve"> </w:t>
      </w:r>
      <w:proofErr w:type="spellStart"/>
      <w:r w:rsidRPr="001D4E02">
        <w:rPr>
          <w:lang w:val="en-GB"/>
        </w:rPr>
        <w:t>frontera</w:t>
      </w:r>
      <w:proofErr w:type="spellEnd"/>
      <w:r w:rsidR="008A76D0">
        <w:rPr>
          <w:lang w:val="en-GB"/>
        </w:rPr>
        <w:t>",</w:t>
      </w:r>
      <w:r w:rsidRPr="001D4E02">
        <w:rPr>
          <w:lang w:val="en-GB"/>
        </w:rPr>
        <w:t xml:space="preserve"> </w:t>
      </w:r>
      <w:proofErr w:type="spellStart"/>
      <w:r w:rsidRPr="008A76D0">
        <w:rPr>
          <w:i/>
          <w:lang w:val="en-GB"/>
        </w:rPr>
        <w:t>Revista</w:t>
      </w:r>
      <w:proofErr w:type="spellEnd"/>
      <w:r w:rsidRPr="008A76D0">
        <w:rPr>
          <w:i/>
          <w:lang w:val="en-GB"/>
        </w:rPr>
        <w:t xml:space="preserve"> de </w:t>
      </w:r>
      <w:proofErr w:type="spellStart"/>
      <w:r w:rsidRPr="008A76D0">
        <w:rPr>
          <w:i/>
          <w:lang w:val="en-GB"/>
        </w:rPr>
        <w:t>Economía</w:t>
      </w:r>
      <w:proofErr w:type="spellEnd"/>
      <w:r w:rsidRPr="008A76D0">
        <w:rPr>
          <w:i/>
          <w:lang w:val="en-GB"/>
        </w:rPr>
        <w:t xml:space="preserve"> </w:t>
      </w:r>
      <w:proofErr w:type="spellStart"/>
      <w:r w:rsidRPr="008A76D0">
        <w:rPr>
          <w:i/>
          <w:lang w:val="en-GB"/>
        </w:rPr>
        <w:t>Aplicada</w:t>
      </w:r>
      <w:proofErr w:type="spellEnd"/>
      <w:r w:rsidRPr="001D4E02">
        <w:rPr>
          <w:lang w:val="en-GB"/>
        </w:rPr>
        <w:t xml:space="preserve">, </w:t>
      </w:r>
      <w:r w:rsidR="00101398">
        <w:rPr>
          <w:lang w:val="en-GB"/>
        </w:rPr>
        <w:t>nº</w:t>
      </w:r>
      <w:r w:rsidR="00101398" w:rsidRPr="001D4E02">
        <w:rPr>
          <w:lang w:val="en-GB"/>
        </w:rPr>
        <w:t xml:space="preserve"> </w:t>
      </w:r>
      <w:r w:rsidRPr="001D4E02">
        <w:rPr>
          <w:lang w:val="en-GB"/>
        </w:rPr>
        <w:t xml:space="preserve">35, </w:t>
      </w:r>
      <w:r w:rsidR="00101398" w:rsidRPr="00795CEF">
        <w:rPr>
          <w:lang w:val="en-GB"/>
        </w:rPr>
        <w:t>p.</w:t>
      </w:r>
      <w:r w:rsidRPr="001D4E02">
        <w:rPr>
          <w:lang w:val="en-GB"/>
        </w:rPr>
        <w:t>65-82.</w:t>
      </w:r>
    </w:p>
    <w:p w:rsidR="001D4E02" w:rsidRPr="001D4E02" w:rsidRDefault="001D4E02" w:rsidP="001D4E02">
      <w:pPr>
        <w:spacing w:line="360" w:lineRule="auto"/>
        <w:ind w:left="709" w:hanging="709"/>
        <w:jc w:val="both"/>
        <w:rPr>
          <w:lang w:val="en-GB"/>
        </w:rPr>
      </w:pPr>
      <w:proofErr w:type="spellStart"/>
      <w:r w:rsidRPr="001D4E02">
        <w:rPr>
          <w:lang w:val="en-GB"/>
        </w:rPr>
        <w:t>Domar</w:t>
      </w:r>
      <w:proofErr w:type="spellEnd"/>
      <w:r w:rsidRPr="001D4E02">
        <w:rPr>
          <w:lang w:val="en-GB"/>
        </w:rPr>
        <w:t>, E.D. (1961)</w:t>
      </w:r>
      <w:r w:rsidR="008A76D0">
        <w:rPr>
          <w:lang w:val="en-GB"/>
        </w:rPr>
        <w:t>: "</w:t>
      </w:r>
      <w:r w:rsidRPr="001D4E02">
        <w:rPr>
          <w:lang w:val="en-GB"/>
        </w:rPr>
        <w:t>On the measurement of technological change</w:t>
      </w:r>
      <w:r w:rsidR="008A76D0">
        <w:rPr>
          <w:lang w:val="en-GB"/>
        </w:rPr>
        <w:t>",</w:t>
      </w:r>
      <w:r w:rsidRPr="001D4E02">
        <w:rPr>
          <w:lang w:val="en-GB"/>
        </w:rPr>
        <w:t xml:space="preserve"> </w:t>
      </w:r>
      <w:r w:rsidRPr="008A76D0">
        <w:rPr>
          <w:i/>
          <w:lang w:val="en-GB"/>
        </w:rPr>
        <w:t>Economic Journal,</w:t>
      </w:r>
      <w:r w:rsidRPr="001D4E02">
        <w:rPr>
          <w:lang w:val="en-GB"/>
        </w:rPr>
        <w:t xml:space="preserve"> </w:t>
      </w:r>
      <w:r w:rsidR="00101398">
        <w:rPr>
          <w:lang w:val="en-GB"/>
        </w:rPr>
        <w:t>nº</w:t>
      </w:r>
      <w:r w:rsidR="00101398" w:rsidRPr="001D4E02">
        <w:rPr>
          <w:lang w:val="en-GB"/>
        </w:rPr>
        <w:t xml:space="preserve"> </w:t>
      </w:r>
      <w:r w:rsidRPr="001D4E02">
        <w:rPr>
          <w:lang w:val="en-GB"/>
        </w:rPr>
        <w:t xml:space="preserve">71, </w:t>
      </w:r>
      <w:r w:rsidR="00101398" w:rsidRPr="00795CEF">
        <w:rPr>
          <w:lang w:val="en-GB"/>
        </w:rPr>
        <w:t>p.</w:t>
      </w:r>
      <w:r w:rsidRPr="001D4E02">
        <w:rPr>
          <w:lang w:val="en-GB"/>
        </w:rPr>
        <w:t>709–729.</w:t>
      </w:r>
    </w:p>
    <w:p w:rsidR="001D4E02" w:rsidRPr="001D4E02" w:rsidRDefault="001D4E02" w:rsidP="001D4E02">
      <w:pPr>
        <w:spacing w:line="360" w:lineRule="auto"/>
        <w:ind w:left="709" w:hanging="709"/>
        <w:jc w:val="both"/>
        <w:rPr>
          <w:lang w:val="en-GB"/>
        </w:rPr>
      </w:pPr>
      <w:proofErr w:type="spellStart"/>
      <w:r w:rsidRPr="001D4E02">
        <w:rPr>
          <w:lang w:val="en-GB"/>
        </w:rPr>
        <w:t>Domazlicky</w:t>
      </w:r>
      <w:proofErr w:type="spellEnd"/>
      <w:r w:rsidRPr="001D4E02">
        <w:rPr>
          <w:lang w:val="en-GB"/>
        </w:rPr>
        <w:t>, B. R., and Weber, W. L. (1997)</w:t>
      </w:r>
      <w:r w:rsidR="008A76D0">
        <w:rPr>
          <w:lang w:val="en-GB"/>
        </w:rPr>
        <w:t>: "</w:t>
      </w:r>
      <w:r w:rsidRPr="001D4E02">
        <w:rPr>
          <w:lang w:val="en-GB"/>
        </w:rPr>
        <w:t>Total Factor Productivity in the Contiguous United States, 1977-1986</w:t>
      </w:r>
      <w:r w:rsidR="008A76D0">
        <w:rPr>
          <w:lang w:val="en-GB"/>
        </w:rPr>
        <w:t>",</w:t>
      </w:r>
      <w:r w:rsidRPr="001D4E02">
        <w:rPr>
          <w:lang w:val="en-GB"/>
        </w:rPr>
        <w:t xml:space="preserve"> </w:t>
      </w:r>
      <w:r w:rsidRPr="008A76D0">
        <w:rPr>
          <w:i/>
          <w:lang w:val="en-GB"/>
        </w:rPr>
        <w:t>Journal of Regional Science,</w:t>
      </w:r>
      <w:r w:rsidRPr="001D4E02">
        <w:rPr>
          <w:lang w:val="en-GB"/>
        </w:rPr>
        <w:t xml:space="preserve"> </w:t>
      </w:r>
      <w:r w:rsidR="00101398">
        <w:rPr>
          <w:lang w:val="en-GB"/>
        </w:rPr>
        <w:t>nº</w:t>
      </w:r>
      <w:r w:rsidR="00101398" w:rsidRPr="001D4E02">
        <w:rPr>
          <w:lang w:val="en-GB"/>
        </w:rPr>
        <w:t xml:space="preserve"> </w:t>
      </w:r>
      <w:r w:rsidRPr="001D4E02">
        <w:rPr>
          <w:lang w:val="en-GB"/>
        </w:rPr>
        <w:t xml:space="preserve">37(2), </w:t>
      </w:r>
      <w:r w:rsidR="00101398" w:rsidRPr="00795CEF">
        <w:rPr>
          <w:lang w:val="en-GB"/>
        </w:rPr>
        <w:t>p.</w:t>
      </w:r>
      <w:r w:rsidRPr="001D4E02">
        <w:rPr>
          <w:lang w:val="en-GB"/>
        </w:rPr>
        <w:t>213-</w:t>
      </w:r>
      <w:r w:rsidR="00101398">
        <w:rPr>
          <w:lang w:val="en-GB"/>
        </w:rPr>
        <w:t>2</w:t>
      </w:r>
      <w:r w:rsidRPr="001D4E02">
        <w:rPr>
          <w:lang w:val="en-GB"/>
        </w:rPr>
        <w:t>33.</w:t>
      </w:r>
    </w:p>
    <w:p w:rsidR="001D4E02" w:rsidRPr="001D4E02" w:rsidRDefault="001D4E02" w:rsidP="001D4E02">
      <w:pPr>
        <w:spacing w:line="360" w:lineRule="auto"/>
        <w:ind w:left="709" w:hanging="709"/>
        <w:jc w:val="both"/>
        <w:rPr>
          <w:lang w:val="en-GB"/>
        </w:rPr>
      </w:pPr>
      <w:proofErr w:type="spellStart"/>
      <w:r w:rsidRPr="001D4E02">
        <w:rPr>
          <w:lang w:val="en-GB"/>
        </w:rPr>
        <w:t>Duranton</w:t>
      </w:r>
      <w:proofErr w:type="spellEnd"/>
      <w:r w:rsidRPr="001D4E02">
        <w:rPr>
          <w:lang w:val="en-GB"/>
        </w:rPr>
        <w:t xml:space="preserve">, G., and </w:t>
      </w:r>
      <w:proofErr w:type="spellStart"/>
      <w:r w:rsidRPr="001D4E02">
        <w:rPr>
          <w:lang w:val="en-GB"/>
        </w:rPr>
        <w:t>Puga</w:t>
      </w:r>
      <w:proofErr w:type="spellEnd"/>
      <w:r w:rsidRPr="001D4E02">
        <w:rPr>
          <w:lang w:val="en-GB"/>
        </w:rPr>
        <w:t>, D.  (2004)</w:t>
      </w:r>
      <w:r w:rsidR="008A76D0">
        <w:rPr>
          <w:lang w:val="en-GB"/>
        </w:rPr>
        <w:t>:</w:t>
      </w:r>
      <w:r w:rsidRPr="001D4E02">
        <w:rPr>
          <w:lang w:val="en-GB"/>
        </w:rPr>
        <w:t xml:space="preserve">  </w:t>
      </w:r>
      <w:r w:rsidR="008A76D0">
        <w:rPr>
          <w:lang w:val="en-GB"/>
        </w:rPr>
        <w:t>"</w:t>
      </w:r>
      <w:r w:rsidRPr="001D4E02">
        <w:rPr>
          <w:lang w:val="en-GB"/>
        </w:rPr>
        <w:t>Micro-foundations of Urban Agglomeration Economies</w:t>
      </w:r>
      <w:r w:rsidR="008A76D0">
        <w:rPr>
          <w:lang w:val="en-GB"/>
        </w:rPr>
        <w:t>",</w:t>
      </w:r>
      <w:r w:rsidRPr="001D4E02">
        <w:rPr>
          <w:lang w:val="en-GB"/>
        </w:rPr>
        <w:t xml:space="preserve"> In J. V. Henderson &amp; J.-F. </w:t>
      </w:r>
      <w:proofErr w:type="spellStart"/>
      <w:r w:rsidRPr="001D4E02">
        <w:rPr>
          <w:lang w:val="en-GB"/>
        </w:rPr>
        <w:t>Thisse</w:t>
      </w:r>
      <w:proofErr w:type="spellEnd"/>
      <w:r w:rsidRPr="001D4E02">
        <w:rPr>
          <w:lang w:val="en-GB"/>
        </w:rPr>
        <w:t xml:space="preserve"> (Eds.), </w:t>
      </w:r>
      <w:r w:rsidRPr="008A76D0">
        <w:rPr>
          <w:i/>
          <w:lang w:val="en-GB"/>
        </w:rPr>
        <w:t>Handbook of Regional and Urban Economics, Volume 4</w:t>
      </w:r>
      <w:r w:rsidRPr="001D4E02">
        <w:rPr>
          <w:lang w:val="en-GB"/>
        </w:rPr>
        <w:t xml:space="preserve">, </w:t>
      </w:r>
      <w:r w:rsidR="00101398" w:rsidRPr="00795CEF">
        <w:rPr>
          <w:lang w:val="en-GB"/>
        </w:rPr>
        <w:t>p.</w:t>
      </w:r>
      <w:r w:rsidRPr="001D4E02">
        <w:rPr>
          <w:lang w:val="en-GB"/>
        </w:rPr>
        <w:t>2063-2117. Amsterdam: North-Holland.</w:t>
      </w:r>
    </w:p>
    <w:p w:rsidR="001D4E02" w:rsidRPr="001D4E02" w:rsidRDefault="001D4E02" w:rsidP="001D4E02">
      <w:pPr>
        <w:spacing w:line="360" w:lineRule="auto"/>
        <w:ind w:left="709" w:hanging="709"/>
        <w:jc w:val="both"/>
        <w:rPr>
          <w:lang w:val="en-GB"/>
        </w:rPr>
      </w:pPr>
      <w:proofErr w:type="spellStart"/>
      <w:r w:rsidRPr="001D4E02">
        <w:rPr>
          <w:lang w:val="en-GB"/>
        </w:rPr>
        <w:t>Elhorst</w:t>
      </w:r>
      <w:proofErr w:type="spellEnd"/>
      <w:r w:rsidRPr="001D4E02">
        <w:rPr>
          <w:lang w:val="en-GB"/>
        </w:rPr>
        <w:t>, J.P. (2014)</w:t>
      </w:r>
      <w:r w:rsidR="008A76D0">
        <w:rPr>
          <w:lang w:val="en-GB"/>
        </w:rPr>
        <w:t>:</w:t>
      </w:r>
      <w:r w:rsidRPr="001D4E02">
        <w:rPr>
          <w:lang w:val="en-GB"/>
        </w:rPr>
        <w:t xml:space="preserve"> </w:t>
      </w:r>
      <w:r w:rsidRPr="008A76D0">
        <w:rPr>
          <w:i/>
          <w:lang w:val="en-GB"/>
        </w:rPr>
        <w:t xml:space="preserve">Spatial econometrics. From cross-sectional data to spatial panels. </w:t>
      </w:r>
      <w:r w:rsidRPr="001D4E02">
        <w:rPr>
          <w:lang w:val="en-GB"/>
        </w:rPr>
        <w:t>Berlin: Springer.</w:t>
      </w:r>
    </w:p>
    <w:p w:rsidR="001D4E02" w:rsidRPr="001D4E02" w:rsidRDefault="001D4E02" w:rsidP="001D4E02">
      <w:pPr>
        <w:spacing w:line="360" w:lineRule="auto"/>
        <w:ind w:left="709" w:hanging="709"/>
        <w:jc w:val="both"/>
        <w:rPr>
          <w:lang w:val="en-GB"/>
        </w:rPr>
      </w:pPr>
      <w:r w:rsidRPr="001D4E02">
        <w:rPr>
          <w:lang w:val="en-GB"/>
        </w:rPr>
        <w:t xml:space="preserve">Ellison, G., and </w:t>
      </w:r>
      <w:proofErr w:type="spellStart"/>
      <w:r w:rsidRPr="001D4E02">
        <w:rPr>
          <w:lang w:val="en-GB"/>
        </w:rPr>
        <w:t>Glaeser</w:t>
      </w:r>
      <w:proofErr w:type="spellEnd"/>
      <w:r w:rsidRPr="001D4E02">
        <w:rPr>
          <w:lang w:val="en-GB"/>
        </w:rPr>
        <w:t>, E.L. (1997)</w:t>
      </w:r>
      <w:r w:rsidR="008A76D0">
        <w:rPr>
          <w:lang w:val="en-GB"/>
        </w:rPr>
        <w:t>:</w:t>
      </w:r>
      <w:r w:rsidRPr="001D4E02">
        <w:rPr>
          <w:lang w:val="en-GB"/>
        </w:rPr>
        <w:t xml:space="preserve"> </w:t>
      </w:r>
      <w:r w:rsidR="008A76D0">
        <w:rPr>
          <w:lang w:val="en-GB"/>
        </w:rPr>
        <w:t>"</w:t>
      </w:r>
      <w:r w:rsidRPr="001D4E02">
        <w:rPr>
          <w:lang w:val="en-GB"/>
        </w:rPr>
        <w:t>Geographic Concentration in US Manufacturing Industries: A Dartboard Approach</w:t>
      </w:r>
      <w:r w:rsidR="008A76D0">
        <w:rPr>
          <w:lang w:val="en-GB"/>
        </w:rPr>
        <w:t>",</w:t>
      </w:r>
      <w:r w:rsidRPr="001D4E02">
        <w:rPr>
          <w:lang w:val="en-GB"/>
        </w:rPr>
        <w:t xml:space="preserve"> </w:t>
      </w:r>
      <w:r w:rsidRPr="008A76D0">
        <w:rPr>
          <w:i/>
          <w:lang w:val="en-GB"/>
        </w:rPr>
        <w:t>Journal of Political Economy,</w:t>
      </w:r>
      <w:r w:rsidRPr="001D4E02">
        <w:rPr>
          <w:lang w:val="en-GB"/>
        </w:rPr>
        <w:t xml:space="preserve"> </w:t>
      </w:r>
      <w:r w:rsidR="00101398">
        <w:rPr>
          <w:lang w:val="en-GB"/>
        </w:rPr>
        <w:t>nº</w:t>
      </w:r>
      <w:r w:rsidR="00101398" w:rsidRPr="001D4E02">
        <w:rPr>
          <w:lang w:val="en-GB"/>
        </w:rPr>
        <w:t xml:space="preserve"> </w:t>
      </w:r>
      <w:r w:rsidRPr="001D4E02">
        <w:rPr>
          <w:lang w:val="en-GB"/>
        </w:rPr>
        <w:t xml:space="preserve">105, </w:t>
      </w:r>
      <w:r w:rsidR="00101398" w:rsidRPr="00795CEF">
        <w:rPr>
          <w:lang w:val="en-GB"/>
        </w:rPr>
        <w:t>p.</w:t>
      </w:r>
      <w:r w:rsidRPr="001D4E02">
        <w:rPr>
          <w:lang w:val="en-GB"/>
        </w:rPr>
        <w:t>889–927.</w:t>
      </w:r>
    </w:p>
    <w:p w:rsidR="001D4E02" w:rsidRPr="001D4E02" w:rsidRDefault="001D4E02" w:rsidP="001D4E02">
      <w:pPr>
        <w:spacing w:line="360" w:lineRule="auto"/>
        <w:ind w:left="709" w:hanging="709"/>
        <w:jc w:val="both"/>
        <w:rPr>
          <w:lang w:val="en-GB"/>
        </w:rPr>
      </w:pPr>
      <w:proofErr w:type="spellStart"/>
      <w:r w:rsidRPr="001D4E02">
        <w:rPr>
          <w:lang w:val="en-GB"/>
        </w:rPr>
        <w:lastRenderedPageBreak/>
        <w:t>Fama</w:t>
      </w:r>
      <w:proofErr w:type="spellEnd"/>
      <w:r w:rsidRPr="001D4E02">
        <w:rPr>
          <w:lang w:val="en-GB"/>
        </w:rPr>
        <w:t xml:space="preserve">, E. F. and </w:t>
      </w:r>
      <w:proofErr w:type="spellStart"/>
      <w:r w:rsidRPr="001D4E02">
        <w:rPr>
          <w:lang w:val="en-GB"/>
        </w:rPr>
        <w:t>MacBeth</w:t>
      </w:r>
      <w:proofErr w:type="spellEnd"/>
      <w:r w:rsidRPr="001D4E02">
        <w:rPr>
          <w:lang w:val="en-GB"/>
        </w:rPr>
        <w:t>, J. (1973)</w:t>
      </w:r>
      <w:r w:rsidR="008A76D0">
        <w:rPr>
          <w:lang w:val="en-GB"/>
        </w:rPr>
        <w:t>:</w:t>
      </w:r>
      <w:r w:rsidRPr="001D4E02">
        <w:rPr>
          <w:lang w:val="en-GB"/>
        </w:rPr>
        <w:t xml:space="preserve"> </w:t>
      </w:r>
      <w:r w:rsidR="008A76D0">
        <w:rPr>
          <w:lang w:val="en-GB"/>
        </w:rPr>
        <w:t>"</w:t>
      </w:r>
      <w:r w:rsidRPr="001D4E02">
        <w:rPr>
          <w:lang w:val="en-GB"/>
        </w:rPr>
        <w:t>Risk, Return and Equilibrium: Empirical Tests</w:t>
      </w:r>
      <w:r w:rsidR="008A76D0">
        <w:rPr>
          <w:lang w:val="en-GB"/>
        </w:rPr>
        <w:t>",</w:t>
      </w:r>
      <w:r w:rsidRPr="001D4E02">
        <w:rPr>
          <w:lang w:val="en-GB"/>
        </w:rPr>
        <w:t xml:space="preserve"> </w:t>
      </w:r>
      <w:r w:rsidRPr="008A76D0">
        <w:rPr>
          <w:i/>
          <w:lang w:val="en-GB"/>
        </w:rPr>
        <w:t>Journal of Political Economy</w:t>
      </w:r>
      <w:r w:rsidRPr="001D4E02">
        <w:rPr>
          <w:lang w:val="en-GB"/>
        </w:rPr>
        <w:t xml:space="preserve">, </w:t>
      </w:r>
      <w:r w:rsidR="00101398">
        <w:rPr>
          <w:lang w:val="en-GB"/>
        </w:rPr>
        <w:t>nº</w:t>
      </w:r>
      <w:r w:rsidR="00101398" w:rsidRPr="001D4E02">
        <w:rPr>
          <w:lang w:val="en-GB"/>
        </w:rPr>
        <w:t xml:space="preserve"> </w:t>
      </w:r>
      <w:r w:rsidRPr="001D4E02">
        <w:rPr>
          <w:lang w:val="en-GB"/>
        </w:rPr>
        <w:t xml:space="preserve">81, </w:t>
      </w:r>
      <w:r w:rsidR="00101398" w:rsidRPr="00795CEF">
        <w:rPr>
          <w:lang w:val="en-GB"/>
        </w:rPr>
        <w:t>p.</w:t>
      </w:r>
      <w:r w:rsidRPr="001D4E02">
        <w:rPr>
          <w:lang w:val="en-GB"/>
        </w:rPr>
        <w:t>607–36.</w:t>
      </w:r>
    </w:p>
    <w:p w:rsidR="001D4E02" w:rsidRPr="001D4E02" w:rsidRDefault="001D4E02" w:rsidP="001D4E02">
      <w:pPr>
        <w:spacing w:line="360" w:lineRule="auto"/>
        <w:ind w:left="709" w:hanging="709"/>
        <w:jc w:val="both"/>
        <w:rPr>
          <w:lang w:val="en-GB"/>
        </w:rPr>
      </w:pPr>
      <w:proofErr w:type="spellStart"/>
      <w:r w:rsidRPr="001D4E02">
        <w:rPr>
          <w:lang w:val="en-GB"/>
        </w:rPr>
        <w:t>Fingleton</w:t>
      </w:r>
      <w:proofErr w:type="spellEnd"/>
      <w:r w:rsidRPr="001D4E02">
        <w:rPr>
          <w:lang w:val="en-GB"/>
        </w:rPr>
        <w:t>, B. (Ed.) (2003)</w:t>
      </w:r>
      <w:r w:rsidR="008A76D0">
        <w:rPr>
          <w:lang w:val="en-GB"/>
        </w:rPr>
        <w:t>:</w:t>
      </w:r>
      <w:r w:rsidRPr="001D4E02">
        <w:rPr>
          <w:lang w:val="en-GB"/>
        </w:rPr>
        <w:t xml:space="preserve"> </w:t>
      </w:r>
      <w:r w:rsidRPr="008A76D0">
        <w:rPr>
          <w:i/>
          <w:lang w:val="en-GB"/>
        </w:rPr>
        <w:t>European Economic Growth.</w:t>
      </w:r>
      <w:r w:rsidRPr="001D4E02">
        <w:rPr>
          <w:lang w:val="en-GB"/>
        </w:rPr>
        <w:t xml:space="preserve"> Berlin: Springer.</w:t>
      </w:r>
    </w:p>
    <w:p w:rsidR="001D4E02" w:rsidRPr="001D4E02" w:rsidRDefault="001D4E02" w:rsidP="001D4E02">
      <w:pPr>
        <w:spacing w:line="360" w:lineRule="auto"/>
        <w:ind w:left="709" w:hanging="709"/>
        <w:jc w:val="both"/>
        <w:rPr>
          <w:lang w:val="en-GB"/>
        </w:rPr>
      </w:pPr>
      <w:proofErr w:type="spellStart"/>
      <w:r w:rsidRPr="001D4E02">
        <w:rPr>
          <w:lang w:val="en-GB"/>
        </w:rPr>
        <w:t>Glaeser</w:t>
      </w:r>
      <w:proofErr w:type="spellEnd"/>
      <w:r w:rsidRPr="001D4E02">
        <w:rPr>
          <w:lang w:val="en-GB"/>
        </w:rPr>
        <w:t xml:space="preserve">, E., </w:t>
      </w:r>
      <w:proofErr w:type="spellStart"/>
      <w:r w:rsidRPr="001D4E02">
        <w:rPr>
          <w:lang w:val="en-GB"/>
        </w:rPr>
        <w:t>Kallal</w:t>
      </w:r>
      <w:proofErr w:type="spellEnd"/>
      <w:r w:rsidRPr="001D4E02">
        <w:rPr>
          <w:lang w:val="en-GB"/>
        </w:rPr>
        <w:t xml:space="preserve">, H.D., </w:t>
      </w:r>
      <w:proofErr w:type="spellStart"/>
      <w:r w:rsidRPr="001D4E02">
        <w:rPr>
          <w:lang w:val="en-GB"/>
        </w:rPr>
        <w:t>Schinkmann</w:t>
      </w:r>
      <w:proofErr w:type="spellEnd"/>
      <w:r w:rsidRPr="001D4E02">
        <w:rPr>
          <w:lang w:val="en-GB"/>
        </w:rPr>
        <w:t xml:space="preserve">, J.A., and </w:t>
      </w:r>
      <w:proofErr w:type="spellStart"/>
      <w:r w:rsidRPr="001D4E02">
        <w:rPr>
          <w:lang w:val="en-GB"/>
        </w:rPr>
        <w:t>Shleifer</w:t>
      </w:r>
      <w:proofErr w:type="spellEnd"/>
      <w:r w:rsidRPr="001D4E02">
        <w:rPr>
          <w:lang w:val="en-GB"/>
        </w:rPr>
        <w:t>, A. (1992)</w:t>
      </w:r>
      <w:r w:rsidR="008A76D0">
        <w:rPr>
          <w:lang w:val="en-GB"/>
        </w:rPr>
        <w:t>:</w:t>
      </w:r>
      <w:r w:rsidRPr="001D4E02">
        <w:rPr>
          <w:lang w:val="en-GB"/>
        </w:rPr>
        <w:t xml:space="preserve"> </w:t>
      </w:r>
      <w:r w:rsidR="008A76D0">
        <w:rPr>
          <w:lang w:val="en-GB"/>
        </w:rPr>
        <w:t>"</w:t>
      </w:r>
      <w:r w:rsidRPr="001D4E02">
        <w:rPr>
          <w:lang w:val="en-GB"/>
        </w:rPr>
        <w:t>Growth in Cities</w:t>
      </w:r>
      <w:r w:rsidR="008A76D0">
        <w:rPr>
          <w:lang w:val="en-GB"/>
        </w:rPr>
        <w:t>",</w:t>
      </w:r>
      <w:r w:rsidRPr="001D4E02">
        <w:rPr>
          <w:lang w:val="en-GB"/>
        </w:rPr>
        <w:t xml:space="preserve"> </w:t>
      </w:r>
      <w:r w:rsidRPr="008A76D0">
        <w:rPr>
          <w:i/>
          <w:lang w:val="en-GB"/>
        </w:rPr>
        <w:t>Journal of Political Economy</w:t>
      </w:r>
      <w:r w:rsidRPr="001D4E02">
        <w:rPr>
          <w:lang w:val="en-GB"/>
        </w:rPr>
        <w:t xml:space="preserve">, </w:t>
      </w:r>
      <w:r w:rsidR="00101398">
        <w:rPr>
          <w:lang w:val="en-GB"/>
        </w:rPr>
        <w:t>nº</w:t>
      </w:r>
      <w:r w:rsidR="00101398" w:rsidRPr="001D4E02">
        <w:rPr>
          <w:lang w:val="en-GB"/>
        </w:rPr>
        <w:t xml:space="preserve"> </w:t>
      </w:r>
      <w:r w:rsidRPr="001D4E02">
        <w:rPr>
          <w:lang w:val="en-GB"/>
        </w:rPr>
        <w:t xml:space="preserve">100, </w:t>
      </w:r>
      <w:r w:rsidR="00101398" w:rsidRPr="00795CEF">
        <w:rPr>
          <w:lang w:val="en-GB"/>
        </w:rPr>
        <w:t>p.</w:t>
      </w:r>
      <w:r w:rsidRPr="001D4E02">
        <w:rPr>
          <w:lang w:val="en-GB"/>
        </w:rPr>
        <w:t>1126–1152.</w:t>
      </w:r>
    </w:p>
    <w:p w:rsidR="001D4E02" w:rsidRPr="001D4E02" w:rsidRDefault="001D4E02" w:rsidP="001D4E02">
      <w:pPr>
        <w:spacing w:line="360" w:lineRule="auto"/>
        <w:ind w:left="709" w:hanging="709"/>
        <w:jc w:val="both"/>
        <w:rPr>
          <w:lang w:val="en-GB"/>
        </w:rPr>
      </w:pPr>
      <w:r w:rsidRPr="001D4E02">
        <w:rPr>
          <w:lang w:val="en-GB"/>
        </w:rPr>
        <w:t xml:space="preserve">Harris, R., </w:t>
      </w:r>
      <w:proofErr w:type="spellStart"/>
      <w:r w:rsidRPr="001D4E02">
        <w:rPr>
          <w:lang w:val="en-GB"/>
        </w:rPr>
        <w:t>Moffat</w:t>
      </w:r>
      <w:proofErr w:type="spellEnd"/>
      <w:r w:rsidRPr="001D4E02">
        <w:rPr>
          <w:lang w:val="en-GB"/>
        </w:rPr>
        <w:t xml:space="preserve">, J. and </w:t>
      </w:r>
      <w:proofErr w:type="spellStart"/>
      <w:r w:rsidRPr="001D4E02">
        <w:rPr>
          <w:lang w:val="en-GB"/>
        </w:rPr>
        <w:t>Kravtsova</w:t>
      </w:r>
      <w:proofErr w:type="spellEnd"/>
      <w:r w:rsidRPr="001D4E02">
        <w:rPr>
          <w:lang w:val="en-GB"/>
        </w:rPr>
        <w:t>, V. (2011)</w:t>
      </w:r>
      <w:r w:rsidR="008A76D0">
        <w:rPr>
          <w:lang w:val="en-GB"/>
        </w:rPr>
        <w:t>:</w:t>
      </w:r>
      <w:r w:rsidRPr="001D4E02">
        <w:rPr>
          <w:lang w:val="en-GB"/>
        </w:rPr>
        <w:t xml:space="preserve"> </w:t>
      </w:r>
      <w:r w:rsidR="008A76D0">
        <w:rPr>
          <w:lang w:val="en-GB"/>
        </w:rPr>
        <w:t>"</w:t>
      </w:r>
      <w:r w:rsidRPr="001D4E02">
        <w:rPr>
          <w:lang w:val="en-GB"/>
        </w:rPr>
        <w:t>In Search of ‘W'</w:t>
      </w:r>
      <w:r w:rsidR="008A76D0">
        <w:rPr>
          <w:lang w:val="en-GB"/>
        </w:rPr>
        <w:t>"</w:t>
      </w:r>
      <w:r w:rsidRPr="001D4E02">
        <w:rPr>
          <w:lang w:val="en-GB"/>
        </w:rPr>
        <w:t xml:space="preserve">, </w:t>
      </w:r>
      <w:r w:rsidRPr="008A76D0">
        <w:rPr>
          <w:i/>
          <w:lang w:val="en-GB"/>
        </w:rPr>
        <w:t>Spatial Economic Analysis</w:t>
      </w:r>
      <w:r w:rsidRPr="001D4E02">
        <w:rPr>
          <w:lang w:val="en-GB"/>
        </w:rPr>
        <w:t xml:space="preserve">, </w:t>
      </w:r>
      <w:r w:rsidR="00101398">
        <w:rPr>
          <w:lang w:val="en-GB"/>
        </w:rPr>
        <w:t>nº</w:t>
      </w:r>
      <w:r w:rsidR="00101398" w:rsidRPr="001D4E02">
        <w:rPr>
          <w:lang w:val="en-GB"/>
        </w:rPr>
        <w:t xml:space="preserve"> </w:t>
      </w:r>
      <w:r w:rsidRPr="001D4E02">
        <w:rPr>
          <w:lang w:val="en-GB"/>
        </w:rPr>
        <w:t xml:space="preserve">6(3), </w:t>
      </w:r>
      <w:r w:rsidR="00101398" w:rsidRPr="00795CEF">
        <w:rPr>
          <w:lang w:val="en-GB"/>
        </w:rPr>
        <w:t>p.</w:t>
      </w:r>
      <w:r w:rsidRPr="001D4E02">
        <w:rPr>
          <w:lang w:val="en-GB"/>
        </w:rPr>
        <w:t>249-270</w:t>
      </w:r>
    </w:p>
    <w:p w:rsidR="001D4E02" w:rsidRPr="001D4E02" w:rsidRDefault="001D4E02" w:rsidP="001D4E02">
      <w:pPr>
        <w:spacing w:line="360" w:lineRule="auto"/>
        <w:ind w:left="709" w:hanging="709"/>
        <w:jc w:val="both"/>
        <w:rPr>
          <w:lang w:val="en-GB"/>
        </w:rPr>
      </w:pPr>
      <w:proofErr w:type="spellStart"/>
      <w:r w:rsidRPr="001D4E02">
        <w:rPr>
          <w:lang w:val="en-GB"/>
        </w:rPr>
        <w:t>Hulten</w:t>
      </w:r>
      <w:proofErr w:type="spellEnd"/>
      <w:r w:rsidRPr="001D4E02">
        <w:rPr>
          <w:lang w:val="en-GB"/>
        </w:rPr>
        <w:t>, C.R., and Schwab R.M. (1984)</w:t>
      </w:r>
      <w:r w:rsidR="008A76D0">
        <w:rPr>
          <w:lang w:val="en-GB"/>
        </w:rPr>
        <w:t>:</w:t>
      </w:r>
      <w:r w:rsidRPr="001D4E02">
        <w:rPr>
          <w:lang w:val="en-GB"/>
        </w:rPr>
        <w:t xml:space="preserve"> </w:t>
      </w:r>
      <w:r w:rsidR="008A76D0">
        <w:rPr>
          <w:lang w:val="en-GB"/>
        </w:rPr>
        <w:t>"</w:t>
      </w:r>
      <w:r w:rsidRPr="001D4E02">
        <w:rPr>
          <w:lang w:val="en-GB"/>
        </w:rPr>
        <w:t>Regional Productivity Growth in U.S. Manufacturing: 1951-78</w:t>
      </w:r>
      <w:r w:rsidR="008A76D0">
        <w:rPr>
          <w:lang w:val="en-GB"/>
        </w:rPr>
        <w:t>",</w:t>
      </w:r>
      <w:r w:rsidRPr="001D4E02">
        <w:rPr>
          <w:lang w:val="en-GB"/>
        </w:rPr>
        <w:t xml:space="preserve"> </w:t>
      </w:r>
      <w:r w:rsidRPr="008A76D0">
        <w:rPr>
          <w:i/>
          <w:lang w:val="en-GB"/>
        </w:rPr>
        <w:t>American Economic Review</w:t>
      </w:r>
      <w:r w:rsidRPr="001D4E02">
        <w:rPr>
          <w:lang w:val="en-GB"/>
        </w:rPr>
        <w:t xml:space="preserve">, </w:t>
      </w:r>
      <w:r w:rsidR="00101398">
        <w:rPr>
          <w:lang w:val="en-GB"/>
        </w:rPr>
        <w:t>nº</w:t>
      </w:r>
      <w:r w:rsidR="00101398" w:rsidRPr="001D4E02">
        <w:rPr>
          <w:lang w:val="en-GB"/>
        </w:rPr>
        <w:t xml:space="preserve"> </w:t>
      </w:r>
      <w:r w:rsidRPr="001D4E02">
        <w:rPr>
          <w:lang w:val="en-GB"/>
        </w:rPr>
        <w:t xml:space="preserve">74(1), </w:t>
      </w:r>
      <w:r w:rsidR="00101398" w:rsidRPr="00795CEF">
        <w:rPr>
          <w:lang w:val="en-GB"/>
        </w:rPr>
        <w:t>p.</w:t>
      </w:r>
      <w:r w:rsidRPr="001D4E02">
        <w:rPr>
          <w:lang w:val="en-GB"/>
        </w:rPr>
        <w:t>152-</w:t>
      </w:r>
      <w:r w:rsidR="00101398">
        <w:rPr>
          <w:lang w:val="en-GB"/>
        </w:rPr>
        <w:t>15</w:t>
      </w:r>
      <w:r w:rsidRPr="001D4E02">
        <w:rPr>
          <w:lang w:val="en-GB"/>
        </w:rPr>
        <w:t>6.</w:t>
      </w:r>
    </w:p>
    <w:p w:rsidR="001D4E02" w:rsidRPr="001D4E02" w:rsidRDefault="001D4E02" w:rsidP="001D4E02">
      <w:pPr>
        <w:spacing w:line="360" w:lineRule="auto"/>
        <w:ind w:left="709" w:hanging="709"/>
        <w:jc w:val="both"/>
        <w:rPr>
          <w:lang w:val="en-GB"/>
        </w:rPr>
      </w:pPr>
      <w:proofErr w:type="spellStart"/>
      <w:r w:rsidRPr="001D4E02">
        <w:rPr>
          <w:lang w:val="en-GB"/>
        </w:rPr>
        <w:t>Ibragimov</w:t>
      </w:r>
      <w:proofErr w:type="spellEnd"/>
      <w:r w:rsidRPr="001D4E02">
        <w:rPr>
          <w:lang w:val="en-GB"/>
        </w:rPr>
        <w:t xml:space="preserve">, R., and </w:t>
      </w:r>
      <w:proofErr w:type="spellStart"/>
      <w:r w:rsidRPr="001D4E02">
        <w:rPr>
          <w:lang w:val="en-GB"/>
        </w:rPr>
        <w:t>Müller</w:t>
      </w:r>
      <w:proofErr w:type="spellEnd"/>
      <w:r w:rsidRPr="001D4E02">
        <w:rPr>
          <w:lang w:val="en-GB"/>
        </w:rPr>
        <w:t>, U.K. (2010)</w:t>
      </w:r>
      <w:r w:rsidR="008A76D0">
        <w:rPr>
          <w:lang w:val="en-GB"/>
        </w:rPr>
        <w:t>:</w:t>
      </w:r>
      <w:r w:rsidRPr="001D4E02">
        <w:rPr>
          <w:lang w:val="en-GB"/>
        </w:rPr>
        <w:t xml:space="preserve"> </w:t>
      </w:r>
      <w:r w:rsidR="008A76D0">
        <w:rPr>
          <w:lang w:val="en-GB"/>
        </w:rPr>
        <w:t>"</w:t>
      </w:r>
      <w:r w:rsidRPr="001D4E02">
        <w:rPr>
          <w:lang w:val="en-GB"/>
        </w:rPr>
        <w:t>t-Statistic Based Correlation and Heterogeneity Robust Inference</w:t>
      </w:r>
      <w:r w:rsidR="008A76D0">
        <w:rPr>
          <w:lang w:val="en-GB"/>
        </w:rPr>
        <w:t>",</w:t>
      </w:r>
      <w:r w:rsidRPr="001D4E02">
        <w:rPr>
          <w:lang w:val="en-GB"/>
        </w:rPr>
        <w:t xml:space="preserve"> </w:t>
      </w:r>
      <w:r w:rsidRPr="008A76D0">
        <w:rPr>
          <w:i/>
          <w:lang w:val="en-GB"/>
        </w:rPr>
        <w:t>Journal of Business &amp; Economic Statistics</w:t>
      </w:r>
      <w:r w:rsidRPr="001D4E02">
        <w:rPr>
          <w:lang w:val="en-GB"/>
        </w:rPr>
        <w:t xml:space="preserve">, </w:t>
      </w:r>
      <w:r w:rsidR="00101398">
        <w:rPr>
          <w:lang w:val="en-GB"/>
        </w:rPr>
        <w:t>nº</w:t>
      </w:r>
      <w:r w:rsidR="00101398" w:rsidRPr="001D4E02">
        <w:rPr>
          <w:lang w:val="en-GB"/>
        </w:rPr>
        <w:t xml:space="preserve"> </w:t>
      </w:r>
      <w:r w:rsidRPr="001D4E02">
        <w:rPr>
          <w:lang w:val="en-GB"/>
        </w:rPr>
        <w:t>28,</w:t>
      </w:r>
      <w:r w:rsidR="00101398">
        <w:rPr>
          <w:lang w:val="en-GB"/>
        </w:rPr>
        <w:t xml:space="preserve"> </w:t>
      </w:r>
      <w:r w:rsidR="00101398" w:rsidRPr="00795CEF">
        <w:rPr>
          <w:lang w:val="en-GB"/>
        </w:rPr>
        <w:t>p.</w:t>
      </w:r>
      <w:r w:rsidRPr="001D4E02">
        <w:rPr>
          <w:lang w:val="en-GB"/>
        </w:rPr>
        <w:t>453-468.</w:t>
      </w:r>
    </w:p>
    <w:p w:rsidR="001D4E02" w:rsidRPr="001D4E02" w:rsidRDefault="001D4E02" w:rsidP="001D4E02">
      <w:pPr>
        <w:spacing w:line="360" w:lineRule="auto"/>
        <w:ind w:left="709" w:hanging="709"/>
        <w:jc w:val="both"/>
        <w:rPr>
          <w:lang w:val="en-GB"/>
        </w:rPr>
      </w:pPr>
      <w:proofErr w:type="spellStart"/>
      <w:r w:rsidRPr="001D4E02">
        <w:rPr>
          <w:lang w:val="en-GB"/>
        </w:rPr>
        <w:t>Maudos</w:t>
      </w:r>
      <w:proofErr w:type="spellEnd"/>
      <w:r w:rsidRPr="001D4E02">
        <w:rPr>
          <w:lang w:val="en-GB"/>
        </w:rPr>
        <w:t>, J., Pastor, J.M. and Serrano, Lorenzo. (2000)</w:t>
      </w:r>
      <w:r w:rsidR="008A76D0">
        <w:rPr>
          <w:lang w:val="en-GB"/>
        </w:rPr>
        <w:t>:</w:t>
      </w:r>
      <w:r w:rsidRPr="001D4E02">
        <w:rPr>
          <w:lang w:val="en-GB"/>
        </w:rPr>
        <w:t xml:space="preserve"> </w:t>
      </w:r>
      <w:r w:rsidR="008A76D0">
        <w:rPr>
          <w:lang w:val="en-GB"/>
        </w:rPr>
        <w:t>"</w:t>
      </w:r>
      <w:r w:rsidRPr="001D4E02">
        <w:rPr>
          <w:lang w:val="en-GB"/>
        </w:rPr>
        <w:t>Efficiency and Productive Specialization: An Application to the Spanish Regions</w:t>
      </w:r>
      <w:r w:rsidR="008A76D0">
        <w:rPr>
          <w:lang w:val="en-GB"/>
        </w:rPr>
        <w:t>",</w:t>
      </w:r>
      <w:r w:rsidRPr="001D4E02">
        <w:rPr>
          <w:lang w:val="en-GB"/>
        </w:rPr>
        <w:t xml:space="preserve"> </w:t>
      </w:r>
      <w:r w:rsidRPr="008A76D0">
        <w:rPr>
          <w:i/>
          <w:lang w:val="en-GB"/>
        </w:rPr>
        <w:t>Regional Studies</w:t>
      </w:r>
      <w:r w:rsidRPr="001D4E02">
        <w:rPr>
          <w:lang w:val="en-GB"/>
        </w:rPr>
        <w:t xml:space="preserve">, </w:t>
      </w:r>
      <w:r w:rsidR="00101398">
        <w:rPr>
          <w:lang w:val="en-GB"/>
        </w:rPr>
        <w:t>nº</w:t>
      </w:r>
      <w:r w:rsidR="00101398" w:rsidRPr="001D4E02">
        <w:rPr>
          <w:lang w:val="en-GB"/>
        </w:rPr>
        <w:t xml:space="preserve"> </w:t>
      </w:r>
      <w:r w:rsidRPr="001D4E02">
        <w:rPr>
          <w:lang w:val="en-GB"/>
        </w:rPr>
        <w:t xml:space="preserve">34 (9), </w:t>
      </w:r>
      <w:r w:rsidR="00101398" w:rsidRPr="00795CEF">
        <w:rPr>
          <w:lang w:val="en-GB"/>
        </w:rPr>
        <w:t>p.</w:t>
      </w:r>
      <w:r w:rsidRPr="001D4E02">
        <w:rPr>
          <w:lang w:val="en-GB"/>
        </w:rPr>
        <w:t xml:space="preserve">829-42. </w:t>
      </w:r>
    </w:p>
    <w:p w:rsidR="001D4E02" w:rsidRPr="001D4E02" w:rsidRDefault="001D4E02" w:rsidP="001D4E02">
      <w:pPr>
        <w:spacing w:line="360" w:lineRule="auto"/>
        <w:ind w:left="709" w:hanging="709"/>
        <w:jc w:val="both"/>
        <w:rPr>
          <w:lang w:val="en-GB"/>
        </w:rPr>
      </w:pPr>
      <w:proofErr w:type="spellStart"/>
      <w:r w:rsidRPr="001D4E02">
        <w:rPr>
          <w:lang w:val="en-GB"/>
        </w:rPr>
        <w:t>Melo</w:t>
      </w:r>
      <w:proofErr w:type="spellEnd"/>
      <w:r w:rsidRPr="001D4E02">
        <w:rPr>
          <w:lang w:val="en-GB"/>
        </w:rPr>
        <w:t>, P.C., Graham, D.J. and Noland, R.B. (2009)</w:t>
      </w:r>
      <w:r w:rsidR="008A76D0">
        <w:rPr>
          <w:lang w:val="en-GB"/>
        </w:rPr>
        <w:t>:</w:t>
      </w:r>
      <w:r w:rsidRPr="001D4E02">
        <w:rPr>
          <w:lang w:val="en-GB"/>
        </w:rPr>
        <w:t xml:space="preserve"> </w:t>
      </w:r>
      <w:r w:rsidR="008A76D0">
        <w:rPr>
          <w:lang w:val="en-GB"/>
        </w:rPr>
        <w:t>"</w:t>
      </w:r>
      <w:r w:rsidRPr="001D4E02">
        <w:rPr>
          <w:lang w:val="en-GB"/>
        </w:rPr>
        <w:t>A Meta-analysis of Estimates of Urban Agglomeration Economies</w:t>
      </w:r>
      <w:r w:rsidR="008A76D0">
        <w:rPr>
          <w:lang w:val="en-GB"/>
        </w:rPr>
        <w:t>",</w:t>
      </w:r>
      <w:r w:rsidRPr="001D4E02">
        <w:rPr>
          <w:lang w:val="en-GB"/>
        </w:rPr>
        <w:t xml:space="preserve"> </w:t>
      </w:r>
      <w:r w:rsidRPr="008A76D0">
        <w:rPr>
          <w:i/>
          <w:lang w:val="en-GB"/>
        </w:rPr>
        <w:t>Regional Science and Urban Economics</w:t>
      </w:r>
      <w:r w:rsidRPr="001D4E02">
        <w:rPr>
          <w:lang w:val="en-GB"/>
        </w:rPr>
        <w:t xml:space="preserve">, </w:t>
      </w:r>
      <w:r w:rsidR="00101398">
        <w:rPr>
          <w:lang w:val="en-GB"/>
        </w:rPr>
        <w:t>nº</w:t>
      </w:r>
      <w:r w:rsidR="00101398" w:rsidRPr="001D4E02">
        <w:rPr>
          <w:lang w:val="en-GB"/>
        </w:rPr>
        <w:t xml:space="preserve"> </w:t>
      </w:r>
      <w:r w:rsidRPr="001D4E02">
        <w:rPr>
          <w:lang w:val="en-GB"/>
        </w:rPr>
        <w:t xml:space="preserve">39(3), </w:t>
      </w:r>
      <w:r w:rsidR="00101398" w:rsidRPr="00795CEF">
        <w:rPr>
          <w:lang w:val="en-GB"/>
        </w:rPr>
        <w:t>p.</w:t>
      </w:r>
      <w:r w:rsidRPr="001D4E02">
        <w:rPr>
          <w:lang w:val="en-GB"/>
        </w:rPr>
        <w:t>332–42.</w:t>
      </w:r>
    </w:p>
    <w:p w:rsidR="001D4E02" w:rsidRPr="001D4E02" w:rsidRDefault="001D4E02" w:rsidP="001D4E02">
      <w:pPr>
        <w:spacing w:line="360" w:lineRule="auto"/>
        <w:ind w:left="709" w:hanging="709"/>
        <w:jc w:val="both"/>
        <w:rPr>
          <w:lang w:val="en-GB"/>
        </w:rPr>
      </w:pPr>
      <w:proofErr w:type="spellStart"/>
      <w:r w:rsidRPr="001D4E02">
        <w:rPr>
          <w:lang w:val="en-GB"/>
        </w:rPr>
        <w:t>Moomaw</w:t>
      </w:r>
      <w:proofErr w:type="spellEnd"/>
      <w:r w:rsidRPr="001D4E02">
        <w:rPr>
          <w:lang w:val="en-GB"/>
        </w:rPr>
        <w:t>, R.L. and Williams, M. (1991)</w:t>
      </w:r>
      <w:r w:rsidR="008A76D0">
        <w:rPr>
          <w:lang w:val="en-GB"/>
        </w:rPr>
        <w:t>:</w:t>
      </w:r>
      <w:r w:rsidRPr="001D4E02">
        <w:rPr>
          <w:lang w:val="en-GB"/>
        </w:rPr>
        <w:t xml:space="preserve"> </w:t>
      </w:r>
      <w:r w:rsidR="008A76D0">
        <w:rPr>
          <w:lang w:val="en-GB"/>
        </w:rPr>
        <w:t>"</w:t>
      </w:r>
      <w:r w:rsidRPr="001D4E02">
        <w:rPr>
          <w:lang w:val="en-GB"/>
        </w:rPr>
        <w:t>Total Factor Productivity in Manufacturing: Further Evidence from the States</w:t>
      </w:r>
      <w:r w:rsidR="008A76D0">
        <w:rPr>
          <w:lang w:val="en-GB"/>
        </w:rPr>
        <w:t>",</w:t>
      </w:r>
      <w:r w:rsidRPr="001D4E02">
        <w:rPr>
          <w:lang w:val="en-GB"/>
        </w:rPr>
        <w:t xml:space="preserve"> </w:t>
      </w:r>
      <w:r w:rsidRPr="008A76D0">
        <w:rPr>
          <w:i/>
          <w:lang w:val="en-GB"/>
        </w:rPr>
        <w:t>Journal of Regional Science</w:t>
      </w:r>
      <w:r w:rsidRPr="001D4E02">
        <w:rPr>
          <w:lang w:val="en-GB"/>
        </w:rPr>
        <w:t xml:space="preserve">, </w:t>
      </w:r>
      <w:r w:rsidR="00101398">
        <w:rPr>
          <w:lang w:val="en-GB"/>
        </w:rPr>
        <w:t>nº</w:t>
      </w:r>
      <w:r w:rsidR="00101398" w:rsidRPr="001D4E02">
        <w:rPr>
          <w:lang w:val="en-GB"/>
        </w:rPr>
        <w:t xml:space="preserve"> </w:t>
      </w:r>
      <w:r w:rsidRPr="001D4E02">
        <w:rPr>
          <w:lang w:val="en-GB"/>
        </w:rPr>
        <w:t xml:space="preserve">31(1), </w:t>
      </w:r>
      <w:r w:rsidR="00101398" w:rsidRPr="00795CEF">
        <w:rPr>
          <w:lang w:val="en-GB"/>
        </w:rPr>
        <w:t>p.</w:t>
      </w:r>
      <w:r w:rsidRPr="001D4E02">
        <w:rPr>
          <w:lang w:val="en-GB"/>
        </w:rPr>
        <w:t>17-34.</w:t>
      </w:r>
    </w:p>
    <w:p w:rsidR="001D4E02" w:rsidRPr="001D4E02" w:rsidRDefault="001D4E02" w:rsidP="001D4E02">
      <w:pPr>
        <w:spacing w:line="360" w:lineRule="auto"/>
        <w:ind w:left="709" w:hanging="709"/>
        <w:jc w:val="both"/>
        <w:rPr>
          <w:lang w:val="en-GB"/>
        </w:rPr>
      </w:pPr>
      <w:proofErr w:type="spellStart"/>
      <w:r w:rsidRPr="001D4E02">
        <w:rPr>
          <w:lang w:val="en-GB"/>
        </w:rPr>
        <w:t>Otsuka</w:t>
      </w:r>
      <w:proofErr w:type="spellEnd"/>
      <w:r w:rsidRPr="001D4E02">
        <w:rPr>
          <w:lang w:val="en-GB"/>
        </w:rPr>
        <w:t xml:space="preserve"> A (2017)</w:t>
      </w:r>
      <w:r w:rsidR="008A76D0">
        <w:rPr>
          <w:lang w:val="en-GB"/>
        </w:rPr>
        <w:t>:</w:t>
      </w:r>
      <w:r w:rsidRPr="001D4E02">
        <w:rPr>
          <w:lang w:val="en-GB"/>
        </w:rPr>
        <w:t xml:space="preserve"> </w:t>
      </w:r>
      <w:r w:rsidRPr="008A76D0">
        <w:rPr>
          <w:i/>
          <w:lang w:val="en-GB"/>
        </w:rPr>
        <w:t>A New Perspective on Agglomeration Economies in Japan. An Application of Productivity Analysis</w:t>
      </w:r>
      <w:r w:rsidRPr="001D4E02">
        <w:rPr>
          <w:lang w:val="en-GB"/>
        </w:rPr>
        <w:t xml:space="preserve">. Singapore: Springer. </w:t>
      </w:r>
    </w:p>
    <w:p w:rsidR="001D4E02" w:rsidRPr="001D4E02" w:rsidRDefault="001D4E02" w:rsidP="001D4E02">
      <w:pPr>
        <w:spacing w:line="360" w:lineRule="auto"/>
        <w:ind w:left="709" w:hanging="709"/>
        <w:jc w:val="both"/>
        <w:rPr>
          <w:lang w:val="en-GB"/>
        </w:rPr>
      </w:pPr>
      <w:proofErr w:type="spellStart"/>
      <w:r w:rsidRPr="001D4E02">
        <w:rPr>
          <w:lang w:val="en-GB"/>
        </w:rPr>
        <w:t>Otsuka</w:t>
      </w:r>
      <w:proofErr w:type="spellEnd"/>
      <w:r w:rsidRPr="001D4E02">
        <w:rPr>
          <w:lang w:val="en-GB"/>
        </w:rPr>
        <w:t xml:space="preserve"> A,</w:t>
      </w:r>
      <w:r w:rsidR="008A76D0">
        <w:rPr>
          <w:lang w:val="en-GB"/>
        </w:rPr>
        <w:t xml:space="preserve"> and</w:t>
      </w:r>
      <w:r w:rsidRPr="001D4E02">
        <w:rPr>
          <w:lang w:val="en-GB"/>
        </w:rPr>
        <w:t xml:space="preserve"> </w:t>
      </w:r>
      <w:proofErr w:type="spellStart"/>
      <w:r w:rsidRPr="001D4E02">
        <w:rPr>
          <w:lang w:val="en-GB"/>
        </w:rPr>
        <w:t>Goto</w:t>
      </w:r>
      <w:proofErr w:type="spellEnd"/>
      <w:r w:rsidRPr="001D4E02">
        <w:rPr>
          <w:lang w:val="en-GB"/>
        </w:rPr>
        <w:t xml:space="preserve"> M. (2015)</w:t>
      </w:r>
      <w:r w:rsidR="008A76D0">
        <w:rPr>
          <w:lang w:val="en-GB"/>
        </w:rPr>
        <w:t>:</w:t>
      </w:r>
      <w:r w:rsidRPr="001D4E02">
        <w:rPr>
          <w:lang w:val="en-GB"/>
        </w:rPr>
        <w:t xml:space="preserve"> </w:t>
      </w:r>
      <w:r w:rsidR="008A76D0">
        <w:rPr>
          <w:lang w:val="en-GB"/>
        </w:rPr>
        <w:t>"</w:t>
      </w:r>
      <w:r w:rsidRPr="001D4E02">
        <w:rPr>
          <w:lang w:val="en-GB"/>
        </w:rPr>
        <w:t>Agglomeration economies in Japanese industries: the Solow residual approach</w:t>
      </w:r>
      <w:r w:rsidR="008A76D0">
        <w:rPr>
          <w:lang w:val="en-GB"/>
        </w:rPr>
        <w:t>",</w:t>
      </w:r>
      <w:r w:rsidRPr="001D4E02">
        <w:rPr>
          <w:lang w:val="en-GB"/>
        </w:rPr>
        <w:t xml:space="preserve"> </w:t>
      </w:r>
      <w:proofErr w:type="spellStart"/>
      <w:r w:rsidRPr="008A76D0">
        <w:rPr>
          <w:i/>
          <w:lang w:val="en-GB"/>
        </w:rPr>
        <w:t>Ann</w:t>
      </w:r>
      <w:r w:rsidR="00101398" w:rsidRPr="008A76D0">
        <w:rPr>
          <w:i/>
          <w:lang w:val="en-GB"/>
        </w:rPr>
        <w:t>al</w:t>
      </w:r>
      <w:proofErr w:type="spellEnd"/>
      <w:r w:rsidR="00101398" w:rsidRPr="008A76D0">
        <w:rPr>
          <w:i/>
          <w:lang w:val="en-GB"/>
        </w:rPr>
        <w:t xml:space="preserve"> of</w:t>
      </w:r>
      <w:r w:rsidRPr="008A76D0">
        <w:rPr>
          <w:i/>
          <w:lang w:val="en-GB"/>
        </w:rPr>
        <w:t xml:space="preserve"> Reg</w:t>
      </w:r>
      <w:r w:rsidR="00101398" w:rsidRPr="008A76D0">
        <w:rPr>
          <w:i/>
          <w:lang w:val="en-GB"/>
        </w:rPr>
        <w:t>ional</w:t>
      </w:r>
      <w:r w:rsidRPr="008A76D0">
        <w:rPr>
          <w:i/>
          <w:lang w:val="en-GB"/>
        </w:rPr>
        <w:t xml:space="preserve"> Sci</w:t>
      </w:r>
      <w:r w:rsidR="00101398" w:rsidRPr="008A76D0">
        <w:rPr>
          <w:i/>
          <w:lang w:val="en-GB"/>
        </w:rPr>
        <w:t>ence</w:t>
      </w:r>
      <w:r w:rsidR="00101398">
        <w:rPr>
          <w:lang w:val="en-GB"/>
        </w:rPr>
        <w:t>, nº</w:t>
      </w:r>
      <w:r w:rsidR="00101398" w:rsidRPr="001D4E02">
        <w:rPr>
          <w:lang w:val="en-GB"/>
        </w:rPr>
        <w:t xml:space="preserve"> </w:t>
      </w:r>
      <w:r w:rsidRPr="001D4E02">
        <w:rPr>
          <w:lang w:val="en-GB"/>
        </w:rPr>
        <w:t>54(2)</w:t>
      </w:r>
      <w:r w:rsidR="00101398">
        <w:rPr>
          <w:lang w:val="en-GB"/>
        </w:rPr>
        <w:t xml:space="preserve">, </w:t>
      </w:r>
      <w:r w:rsidR="00101398" w:rsidRPr="00795CEF">
        <w:rPr>
          <w:lang w:val="en-GB"/>
        </w:rPr>
        <w:t>p.</w:t>
      </w:r>
      <w:r w:rsidRPr="001D4E02">
        <w:rPr>
          <w:lang w:val="en-GB"/>
        </w:rPr>
        <w:t>401–16</w:t>
      </w:r>
      <w:r w:rsidR="008A76D0">
        <w:rPr>
          <w:lang w:val="en-GB"/>
        </w:rPr>
        <w:t>.</w:t>
      </w:r>
      <w:r w:rsidRPr="001D4E02">
        <w:rPr>
          <w:lang w:val="en-GB"/>
        </w:rPr>
        <w:t xml:space="preserve"> </w:t>
      </w:r>
    </w:p>
    <w:p w:rsidR="001D4E02" w:rsidRPr="001D4E02" w:rsidRDefault="001D4E02" w:rsidP="001D4E02">
      <w:pPr>
        <w:spacing w:line="360" w:lineRule="auto"/>
        <w:ind w:left="709" w:hanging="709"/>
        <w:jc w:val="both"/>
        <w:rPr>
          <w:lang w:val="en-GB"/>
        </w:rPr>
      </w:pPr>
      <w:proofErr w:type="spellStart"/>
      <w:r w:rsidRPr="001D4E02">
        <w:rPr>
          <w:lang w:val="en-GB"/>
        </w:rPr>
        <w:t>Pedraja</w:t>
      </w:r>
      <w:proofErr w:type="spellEnd"/>
      <w:r w:rsidRPr="001D4E02">
        <w:rPr>
          <w:lang w:val="en-GB"/>
        </w:rPr>
        <w:t xml:space="preserve">, F., </w:t>
      </w:r>
      <w:proofErr w:type="spellStart"/>
      <w:r w:rsidRPr="001D4E02">
        <w:rPr>
          <w:lang w:val="en-GB"/>
        </w:rPr>
        <w:t>Ramajo</w:t>
      </w:r>
      <w:proofErr w:type="spellEnd"/>
      <w:r w:rsidRPr="001D4E02">
        <w:rPr>
          <w:lang w:val="en-GB"/>
        </w:rPr>
        <w:t>, J. and Salinas, J. (1999)</w:t>
      </w:r>
      <w:r w:rsidR="008A76D0">
        <w:rPr>
          <w:lang w:val="en-GB"/>
        </w:rPr>
        <w:t>:</w:t>
      </w:r>
      <w:r w:rsidRPr="001D4E02">
        <w:rPr>
          <w:lang w:val="en-GB"/>
        </w:rPr>
        <w:t xml:space="preserve"> </w:t>
      </w:r>
      <w:r w:rsidR="008A76D0">
        <w:rPr>
          <w:lang w:val="en-GB"/>
        </w:rPr>
        <w:t>"</w:t>
      </w:r>
      <w:proofErr w:type="spellStart"/>
      <w:r w:rsidRPr="001D4E02">
        <w:rPr>
          <w:lang w:val="en-GB"/>
        </w:rPr>
        <w:t>Eficiencia</w:t>
      </w:r>
      <w:proofErr w:type="spellEnd"/>
      <w:r w:rsidRPr="001D4E02">
        <w:rPr>
          <w:lang w:val="en-GB"/>
        </w:rPr>
        <w:t xml:space="preserve"> </w:t>
      </w:r>
      <w:proofErr w:type="spellStart"/>
      <w:r w:rsidRPr="001D4E02">
        <w:rPr>
          <w:lang w:val="en-GB"/>
        </w:rPr>
        <w:t>productiva</w:t>
      </w:r>
      <w:proofErr w:type="spellEnd"/>
      <w:r w:rsidRPr="001D4E02">
        <w:rPr>
          <w:lang w:val="en-GB"/>
        </w:rPr>
        <w:t xml:space="preserve"> del sector industrial </w:t>
      </w:r>
      <w:proofErr w:type="spellStart"/>
      <w:r w:rsidRPr="001D4E02">
        <w:rPr>
          <w:lang w:val="en-GB"/>
        </w:rPr>
        <w:t>español</w:t>
      </w:r>
      <w:proofErr w:type="spellEnd"/>
      <w:r w:rsidRPr="001D4E02">
        <w:rPr>
          <w:lang w:val="en-GB"/>
        </w:rPr>
        <w:t xml:space="preserve">: un </w:t>
      </w:r>
      <w:proofErr w:type="spellStart"/>
      <w:r w:rsidRPr="001D4E02">
        <w:rPr>
          <w:lang w:val="en-GB"/>
        </w:rPr>
        <w:t>análisis</w:t>
      </w:r>
      <w:proofErr w:type="spellEnd"/>
      <w:r w:rsidRPr="001D4E02">
        <w:rPr>
          <w:lang w:val="en-GB"/>
        </w:rPr>
        <w:t xml:space="preserve"> </w:t>
      </w:r>
      <w:proofErr w:type="spellStart"/>
      <w:r w:rsidRPr="001D4E02">
        <w:rPr>
          <w:lang w:val="en-GB"/>
        </w:rPr>
        <w:t>espacial</w:t>
      </w:r>
      <w:proofErr w:type="spellEnd"/>
      <w:r w:rsidRPr="001D4E02">
        <w:rPr>
          <w:lang w:val="en-GB"/>
        </w:rPr>
        <w:t xml:space="preserve"> y </w:t>
      </w:r>
      <w:proofErr w:type="spellStart"/>
      <w:r w:rsidRPr="001D4E02">
        <w:rPr>
          <w:lang w:val="en-GB"/>
        </w:rPr>
        <w:t>sectorial</w:t>
      </w:r>
      <w:proofErr w:type="spellEnd"/>
      <w:r w:rsidR="008A76D0">
        <w:rPr>
          <w:lang w:val="en-GB"/>
        </w:rPr>
        <w:t>",</w:t>
      </w:r>
      <w:r w:rsidRPr="001D4E02">
        <w:rPr>
          <w:lang w:val="en-GB"/>
        </w:rPr>
        <w:t xml:space="preserve"> </w:t>
      </w:r>
      <w:proofErr w:type="spellStart"/>
      <w:r w:rsidRPr="008A76D0">
        <w:rPr>
          <w:i/>
          <w:lang w:val="en-GB"/>
        </w:rPr>
        <w:t>Papeles</w:t>
      </w:r>
      <w:proofErr w:type="spellEnd"/>
      <w:r w:rsidRPr="008A76D0">
        <w:rPr>
          <w:i/>
          <w:lang w:val="en-GB"/>
        </w:rPr>
        <w:t xml:space="preserve"> de </w:t>
      </w:r>
      <w:proofErr w:type="spellStart"/>
      <w:r w:rsidRPr="008A76D0">
        <w:rPr>
          <w:i/>
          <w:lang w:val="en-GB"/>
        </w:rPr>
        <w:t>Economía</w:t>
      </w:r>
      <w:proofErr w:type="spellEnd"/>
      <w:r w:rsidRPr="008A76D0">
        <w:rPr>
          <w:i/>
          <w:lang w:val="en-GB"/>
        </w:rPr>
        <w:t xml:space="preserve"> </w:t>
      </w:r>
      <w:proofErr w:type="spellStart"/>
      <w:r w:rsidRPr="008A76D0">
        <w:rPr>
          <w:i/>
          <w:lang w:val="en-GB"/>
        </w:rPr>
        <w:t>Española</w:t>
      </w:r>
      <w:proofErr w:type="spellEnd"/>
      <w:r w:rsidRPr="001D4E02">
        <w:rPr>
          <w:lang w:val="en-GB"/>
        </w:rPr>
        <w:t xml:space="preserve">, </w:t>
      </w:r>
      <w:r w:rsidR="00101398">
        <w:rPr>
          <w:lang w:val="en-GB"/>
        </w:rPr>
        <w:t>nº</w:t>
      </w:r>
      <w:r w:rsidR="00101398" w:rsidRPr="001D4E02">
        <w:rPr>
          <w:lang w:val="en-GB"/>
        </w:rPr>
        <w:t xml:space="preserve"> </w:t>
      </w:r>
      <w:r w:rsidRPr="001D4E02">
        <w:rPr>
          <w:lang w:val="en-GB"/>
        </w:rPr>
        <w:t xml:space="preserve">82, </w:t>
      </w:r>
      <w:r w:rsidR="00101398" w:rsidRPr="00795CEF">
        <w:rPr>
          <w:lang w:val="en-GB"/>
        </w:rPr>
        <w:t>p.</w:t>
      </w:r>
      <w:r w:rsidRPr="001D4E02">
        <w:rPr>
          <w:lang w:val="en-GB"/>
        </w:rPr>
        <w:t>51-68.</w:t>
      </w:r>
    </w:p>
    <w:p w:rsidR="001D4E02" w:rsidRPr="001D4E02" w:rsidRDefault="001D4E02" w:rsidP="001D4E02">
      <w:pPr>
        <w:spacing w:line="360" w:lineRule="auto"/>
        <w:ind w:left="709" w:hanging="709"/>
        <w:jc w:val="both"/>
        <w:rPr>
          <w:lang w:val="en-GB"/>
        </w:rPr>
      </w:pPr>
      <w:r w:rsidRPr="001D4E02">
        <w:rPr>
          <w:lang w:val="en-GB"/>
        </w:rPr>
        <w:t>Rosenthal, S.S., and Strange, W.C. (2004)</w:t>
      </w:r>
      <w:r w:rsidR="008A76D0">
        <w:rPr>
          <w:lang w:val="en-GB"/>
        </w:rPr>
        <w:t>:</w:t>
      </w:r>
      <w:r w:rsidRPr="001D4E02">
        <w:rPr>
          <w:lang w:val="en-GB"/>
        </w:rPr>
        <w:t xml:space="preserve"> </w:t>
      </w:r>
      <w:r w:rsidR="008A76D0">
        <w:rPr>
          <w:lang w:val="en-GB"/>
        </w:rPr>
        <w:t>"</w:t>
      </w:r>
      <w:r w:rsidRPr="001D4E02">
        <w:rPr>
          <w:lang w:val="en-GB"/>
        </w:rPr>
        <w:t>Evidence on the Nature and Sources of Agglomeration Economies</w:t>
      </w:r>
      <w:r w:rsidR="008A76D0">
        <w:rPr>
          <w:lang w:val="en-GB"/>
        </w:rPr>
        <w:t>",</w:t>
      </w:r>
      <w:r w:rsidRPr="001D4E02">
        <w:rPr>
          <w:lang w:val="en-GB"/>
        </w:rPr>
        <w:t xml:space="preserve"> </w:t>
      </w:r>
      <w:r w:rsidR="008A76D0">
        <w:rPr>
          <w:lang w:val="en-GB"/>
        </w:rPr>
        <w:t>i</w:t>
      </w:r>
      <w:r w:rsidRPr="001D4E02">
        <w:rPr>
          <w:lang w:val="en-GB"/>
        </w:rPr>
        <w:t xml:space="preserve">n J.V. Henderson &amp; J. F. </w:t>
      </w:r>
      <w:proofErr w:type="spellStart"/>
      <w:r w:rsidRPr="001D4E02">
        <w:rPr>
          <w:lang w:val="en-GB"/>
        </w:rPr>
        <w:t>Thisse</w:t>
      </w:r>
      <w:proofErr w:type="spellEnd"/>
      <w:r w:rsidRPr="001D4E02">
        <w:rPr>
          <w:lang w:val="en-GB"/>
        </w:rPr>
        <w:t xml:space="preserve"> (Eds.)</w:t>
      </w:r>
      <w:r w:rsidR="008A76D0">
        <w:rPr>
          <w:lang w:val="en-GB"/>
        </w:rPr>
        <w:t>,</w:t>
      </w:r>
      <w:r w:rsidRPr="001D4E02">
        <w:rPr>
          <w:lang w:val="en-GB"/>
        </w:rPr>
        <w:t xml:space="preserve"> </w:t>
      </w:r>
      <w:r w:rsidRPr="008A76D0">
        <w:rPr>
          <w:i/>
          <w:lang w:val="en-GB"/>
        </w:rPr>
        <w:t>Handbook of Regional and Urban Economics, Volume 4</w:t>
      </w:r>
      <w:r w:rsidRPr="001D4E02">
        <w:rPr>
          <w:lang w:val="en-GB"/>
        </w:rPr>
        <w:t xml:space="preserve">, </w:t>
      </w:r>
      <w:r w:rsidR="00101398" w:rsidRPr="00795CEF">
        <w:rPr>
          <w:lang w:val="en-GB"/>
        </w:rPr>
        <w:t>p.</w:t>
      </w:r>
      <w:r w:rsidR="00101398">
        <w:rPr>
          <w:lang w:val="en-GB"/>
        </w:rPr>
        <w:t>2119-2171</w:t>
      </w:r>
      <w:r w:rsidRPr="001D4E02">
        <w:rPr>
          <w:lang w:val="en-GB"/>
        </w:rPr>
        <w:t>. Amsterdam: North-Holland.</w:t>
      </w:r>
    </w:p>
    <w:p w:rsidR="001D4E02" w:rsidRPr="001D4E02" w:rsidRDefault="001D4E02" w:rsidP="001D4E02">
      <w:pPr>
        <w:spacing w:line="360" w:lineRule="auto"/>
        <w:ind w:left="709" w:hanging="709"/>
        <w:jc w:val="both"/>
        <w:rPr>
          <w:lang w:val="en-GB"/>
        </w:rPr>
      </w:pPr>
      <w:proofErr w:type="spellStart"/>
      <w:r w:rsidRPr="001D4E02">
        <w:rPr>
          <w:lang w:val="en-GB"/>
        </w:rPr>
        <w:lastRenderedPageBreak/>
        <w:t>Segarra</w:t>
      </w:r>
      <w:proofErr w:type="spellEnd"/>
      <w:r w:rsidRPr="001D4E02">
        <w:rPr>
          <w:lang w:val="en-GB"/>
        </w:rPr>
        <w:t xml:space="preserve">, A. and </w:t>
      </w:r>
      <w:proofErr w:type="spellStart"/>
      <w:r w:rsidRPr="001D4E02">
        <w:rPr>
          <w:lang w:val="en-GB"/>
        </w:rPr>
        <w:t>Arcarons</w:t>
      </w:r>
      <w:proofErr w:type="spellEnd"/>
      <w:r w:rsidRPr="001D4E02">
        <w:rPr>
          <w:lang w:val="en-GB"/>
        </w:rPr>
        <w:t>, J. (1999)</w:t>
      </w:r>
      <w:r w:rsidR="008A76D0">
        <w:rPr>
          <w:lang w:val="en-GB"/>
        </w:rPr>
        <w:t>:</w:t>
      </w:r>
      <w:r w:rsidRPr="001D4E02">
        <w:rPr>
          <w:lang w:val="en-GB"/>
        </w:rPr>
        <w:t xml:space="preserve"> </w:t>
      </w:r>
      <w:r w:rsidR="008A76D0">
        <w:rPr>
          <w:lang w:val="en-GB"/>
        </w:rPr>
        <w:t>"</w:t>
      </w:r>
      <w:proofErr w:type="spellStart"/>
      <w:r w:rsidRPr="001D4E02">
        <w:rPr>
          <w:lang w:val="en-GB"/>
        </w:rPr>
        <w:t>Economías</w:t>
      </w:r>
      <w:proofErr w:type="spellEnd"/>
      <w:r w:rsidRPr="001D4E02">
        <w:rPr>
          <w:lang w:val="en-GB"/>
        </w:rPr>
        <w:t xml:space="preserve"> </w:t>
      </w:r>
      <w:proofErr w:type="spellStart"/>
      <w:r w:rsidRPr="001D4E02">
        <w:rPr>
          <w:lang w:val="en-GB"/>
        </w:rPr>
        <w:t>externas</w:t>
      </w:r>
      <w:proofErr w:type="spellEnd"/>
      <w:r w:rsidRPr="001D4E02">
        <w:rPr>
          <w:lang w:val="en-GB"/>
        </w:rPr>
        <w:t xml:space="preserve"> en la </w:t>
      </w:r>
      <w:proofErr w:type="spellStart"/>
      <w:r w:rsidRPr="001D4E02">
        <w:rPr>
          <w:lang w:val="en-GB"/>
        </w:rPr>
        <w:t>industria</w:t>
      </w:r>
      <w:proofErr w:type="spellEnd"/>
      <w:r w:rsidRPr="001D4E02">
        <w:rPr>
          <w:lang w:val="en-GB"/>
        </w:rPr>
        <w:t xml:space="preserve"> </w:t>
      </w:r>
      <w:proofErr w:type="spellStart"/>
      <w:r w:rsidRPr="001D4E02">
        <w:rPr>
          <w:lang w:val="en-GB"/>
        </w:rPr>
        <w:t>española</w:t>
      </w:r>
      <w:proofErr w:type="spellEnd"/>
      <w:r w:rsidRPr="001D4E02">
        <w:rPr>
          <w:lang w:val="en-GB"/>
        </w:rPr>
        <w:t xml:space="preserve">. Un </w:t>
      </w:r>
      <w:proofErr w:type="spellStart"/>
      <w:r w:rsidRPr="001D4E02">
        <w:rPr>
          <w:lang w:val="en-GB"/>
        </w:rPr>
        <w:t>análisis</w:t>
      </w:r>
      <w:proofErr w:type="spellEnd"/>
      <w:r w:rsidRPr="001D4E02">
        <w:rPr>
          <w:lang w:val="en-GB"/>
        </w:rPr>
        <w:t xml:space="preserve"> regional, 1980-1992</w:t>
      </w:r>
      <w:r w:rsidR="008A76D0">
        <w:rPr>
          <w:lang w:val="en-GB"/>
        </w:rPr>
        <w:t>",</w:t>
      </w:r>
      <w:r w:rsidRPr="001D4E02">
        <w:rPr>
          <w:lang w:val="en-GB"/>
        </w:rPr>
        <w:t xml:space="preserve"> </w:t>
      </w:r>
      <w:proofErr w:type="spellStart"/>
      <w:r w:rsidRPr="008A76D0">
        <w:rPr>
          <w:i/>
          <w:lang w:val="en-GB"/>
        </w:rPr>
        <w:t>Revista</w:t>
      </w:r>
      <w:proofErr w:type="spellEnd"/>
      <w:r w:rsidRPr="008A76D0">
        <w:rPr>
          <w:i/>
          <w:lang w:val="en-GB"/>
        </w:rPr>
        <w:t xml:space="preserve"> de </w:t>
      </w:r>
      <w:proofErr w:type="spellStart"/>
      <w:r w:rsidRPr="008A76D0">
        <w:rPr>
          <w:i/>
          <w:lang w:val="en-GB"/>
        </w:rPr>
        <w:t>Economía</w:t>
      </w:r>
      <w:proofErr w:type="spellEnd"/>
      <w:r w:rsidRPr="008A76D0">
        <w:rPr>
          <w:i/>
          <w:lang w:val="en-GB"/>
        </w:rPr>
        <w:t xml:space="preserve"> </w:t>
      </w:r>
      <w:proofErr w:type="spellStart"/>
      <w:r w:rsidRPr="008A76D0">
        <w:rPr>
          <w:i/>
          <w:lang w:val="en-GB"/>
        </w:rPr>
        <w:t>Aplicada</w:t>
      </w:r>
      <w:proofErr w:type="spellEnd"/>
      <w:r w:rsidRPr="001D4E02">
        <w:rPr>
          <w:lang w:val="en-GB"/>
        </w:rPr>
        <w:t xml:space="preserve">, </w:t>
      </w:r>
      <w:r w:rsidR="00101398">
        <w:rPr>
          <w:lang w:val="en-GB"/>
        </w:rPr>
        <w:t>nº</w:t>
      </w:r>
      <w:r w:rsidR="00101398" w:rsidRPr="001D4E02">
        <w:rPr>
          <w:lang w:val="en-GB"/>
        </w:rPr>
        <w:t xml:space="preserve"> </w:t>
      </w:r>
      <w:r w:rsidRPr="001D4E02">
        <w:rPr>
          <w:lang w:val="en-GB"/>
        </w:rPr>
        <w:t xml:space="preserve">19(7), </w:t>
      </w:r>
      <w:r w:rsidR="00101398" w:rsidRPr="00795CEF">
        <w:rPr>
          <w:lang w:val="en-GB"/>
        </w:rPr>
        <w:t>p.</w:t>
      </w:r>
      <w:r w:rsidRPr="001D4E02">
        <w:rPr>
          <w:lang w:val="en-GB"/>
        </w:rPr>
        <w:t>31-60.</w:t>
      </w:r>
    </w:p>
    <w:p w:rsidR="009226F8" w:rsidRDefault="001D4E02" w:rsidP="00B35A97">
      <w:pPr>
        <w:spacing w:line="360" w:lineRule="auto"/>
        <w:ind w:left="709" w:hanging="709"/>
        <w:jc w:val="both"/>
        <w:rPr>
          <w:lang w:val="en-GB"/>
        </w:rPr>
      </w:pPr>
      <w:proofErr w:type="spellStart"/>
      <w:r w:rsidRPr="001D4E02">
        <w:rPr>
          <w:lang w:val="en-GB"/>
        </w:rPr>
        <w:t>Sveikauskas</w:t>
      </w:r>
      <w:proofErr w:type="spellEnd"/>
      <w:r w:rsidRPr="001D4E02">
        <w:rPr>
          <w:lang w:val="en-GB"/>
        </w:rPr>
        <w:t>, L. A. (1975)</w:t>
      </w:r>
      <w:r w:rsidR="008A76D0">
        <w:rPr>
          <w:lang w:val="en-GB"/>
        </w:rPr>
        <w:t>:</w:t>
      </w:r>
      <w:r w:rsidRPr="001D4E02">
        <w:rPr>
          <w:lang w:val="en-GB"/>
        </w:rPr>
        <w:t xml:space="preserve"> </w:t>
      </w:r>
      <w:r w:rsidR="008A76D0">
        <w:rPr>
          <w:lang w:val="en-GB"/>
        </w:rPr>
        <w:t>"</w:t>
      </w:r>
      <w:r w:rsidRPr="001D4E02">
        <w:rPr>
          <w:lang w:val="en-GB"/>
        </w:rPr>
        <w:t>The Productivity of Cities</w:t>
      </w:r>
      <w:r w:rsidR="008A76D0">
        <w:rPr>
          <w:lang w:val="en-GB"/>
        </w:rPr>
        <w:t>",</w:t>
      </w:r>
      <w:r w:rsidRPr="001D4E02">
        <w:rPr>
          <w:lang w:val="en-GB"/>
        </w:rPr>
        <w:t xml:space="preserve"> </w:t>
      </w:r>
      <w:r w:rsidRPr="008A76D0">
        <w:rPr>
          <w:i/>
          <w:lang w:val="en-GB"/>
        </w:rPr>
        <w:t>Quarterly Journal of Economics</w:t>
      </w:r>
      <w:r w:rsidRPr="001D4E02">
        <w:rPr>
          <w:lang w:val="en-GB"/>
        </w:rPr>
        <w:t xml:space="preserve">, </w:t>
      </w:r>
      <w:r w:rsidR="00101398">
        <w:rPr>
          <w:lang w:val="en-GB"/>
        </w:rPr>
        <w:t>nº</w:t>
      </w:r>
      <w:r w:rsidR="00101398" w:rsidRPr="001D4E02">
        <w:rPr>
          <w:lang w:val="en-GB"/>
        </w:rPr>
        <w:t xml:space="preserve"> </w:t>
      </w:r>
      <w:r w:rsidRPr="001D4E02">
        <w:rPr>
          <w:lang w:val="en-GB"/>
        </w:rPr>
        <w:t xml:space="preserve">89(3), </w:t>
      </w:r>
      <w:r w:rsidR="00101398" w:rsidRPr="00795CEF">
        <w:rPr>
          <w:lang w:val="en-GB"/>
        </w:rPr>
        <w:t>p.</w:t>
      </w:r>
      <w:r w:rsidRPr="001D4E02">
        <w:rPr>
          <w:lang w:val="en-GB"/>
        </w:rPr>
        <w:t>393–413.</w:t>
      </w:r>
      <w:r w:rsidR="00B35A97" w:rsidRPr="00795CEF">
        <w:rPr>
          <w:lang w:val="en-GB"/>
        </w:rPr>
        <w:t xml:space="preserve"> </w:t>
      </w:r>
    </w:p>
    <w:p w:rsidR="009226F8" w:rsidRPr="00BE68D3" w:rsidRDefault="009226F8" w:rsidP="00BE68D3">
      <w:pPr>
        <w:jc w:val="center"/>
        <w:rPr>
          <w:b/>
          <w:i/>
          <w:sz w:val="20"/>
          <w:szCs w:val="20"/>
        </w:rPr>
      </w:pPr>
      <w:r>
        <w:rPr>
          <w:lang w:val="en-GB"/>
        </w:rPr>
        <w:br w:type="page"/>
      </w:r>
      <w:proofErr w:type="spellStart"/>
      <w:r w:rsidRPr="00BE68D3">
        <w:rPr>
          <w:b/>
          <w:i/>
          <w:sz w:val="20"/>
          <w:szCs w:val="20"/>
        </w:rPr>
        <w:lastRenderedPageBreak/>
        <w:t>Table</w:t>
      </w:r>
      <w:proofErr w:type="spellEnd"/>
      <w:r w:rsidRPr="00BE68D3">
        <w:rPr>
          <w:b/>
          <w:i/>
          <w:sz w:val="20"/>
          <w:szCs w:val="20"/>
        </w:rPr>
        <w:t xml:space="preserve"> A1 Domar factor </w:t>
      </w:r>
      <w:proofErr w:type="spellStart"/>
      <w:r w:rsidRPr="00BE68D3">
        <w:rPr>
          <w:b/>
          <w:i/>
          <w:sz w:val="20"/>
          <w:szCs w:val="20"/>
        </w:rPr>
        <w:t>regressions</w:t>
      </w:r>
      <w:proofErr w:type="spellEnd"/>
      <w:r w:rsidRPr="00BE68D3">
        <w:rPr>
          <w:b/>
          <w:i/>
          <w:sz w:val="20"/>
          <w:szCs w:val="20"/>
        </w:rPr>
        <w:t xml:space="preserve"> </w:t>
      </w:r>
      <w:proofErr w:type="spellStart"/>
      <w:r w:rsidRPr="00BE68D3">
        <w:rPr>
          <w:b/>
          <w:i/>
          <w:sz w:val="20"/>
          <w:szCs w:val="20"/>
        </w:rPr>
        <w:t>on</w:t>
      </w:r>
      <w:proofErr w:type="spellEnd"/>
      <w:r w:rsidRPr="00BE68D3">
        <w:rPr>
          <w:b/>
          <w:i/>
          <w:sz w:val="20"/>
          <w:szCs w:val="20"/>
        </w:rPr>
        <w:t xml:space="preserve"> province size. Agriculture</w:t>
      </w:r>
    </w:p>
    <w:tbl>
      <w:tblPr>
        <w:tblW w:w="7940" w:type="dxa"/>
        <w:tblInd w:w="70" w:type="dxa"/>
        <w:tblCellMar>
          <w:left w:w="70" w:type="dxa"/>
          <w:right w:w="70" w:type="dxa"/>
        </w:tblCellMar>
        <w:tblLook w:val="04A0"/>
      </w:tblPr>
      <w:tblGrid>
        <w:gridCol w:w="1472"/>
        <w:gridCol w:w="1168"/>
        <w:gridCol w:w="1192"/>
        <w:gridCol w:w="1162"/>
        <w:gridCol w:w="1778"/>
        <w:gridCol w:w="1168"/>
      </w:tblGrid>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rPr>
                <w:i/>
                <w:iCs/>
                <w:color w:val="000000"/>
                <w:sz w:val="20"/>
                <w:szCs w:val="20"/>
              </w:rPr>
            </w:pPr>
            <w:proofErr w:type="spellStart"/>
            <w:r w:rsidRPr="009226F8">
              <w:rPr>
                <w:i/>
                <w:iCs/>
                <w:color w:val="000000"/>
                <w:sz w:val="20"/>
                <w:szCs w:val="20"/>
              </w:rPr>
              <w:t>Population</w:t>
            </w:r>
            <w:proofErr w:type="spellEnd"/>
          </w:p>
        </w:tc>
        <w:tc>
          <w:tcPr>
            <w:tcW w:w="1168" w:type="dxa"/>
            <w:tcBorders>
              <w:top w:val="nil"/>
              <w:left w:val="nil"/>
              <w:bottom w:val="nil"/>
              <w:right w:val="nil"/>
            </w:tcBorders>
            <w:shd w:val="clear" w:color="auto" w:fill="auto"/>
            <w:hideMark/>
          </w:tcPr>
          <w:p w:rsidR="009226F8" w:rsidRPr="009226F8" w:rsidRDefault="009226F8" w:rsidP="0067794B">
            <w:pPr>
              <w:rPr>
                <w:color w:val="000000"/>
                <w:sz w:val="20"/>
                <w:szCs w:val="20"/>
              </w:rPr>
            </w:pPr>
          </w:p>
        </w:tc>
        <w:tc>
          <w:tcPr>
            <w:tcW w:w="1192" w:type="dxa"/>
            <w:tcBorders>
              <w:top w:val="nil"/>
              <w:left w:val="nil"/>
              <w:bottom w:val="nil"/>
              <w:right w:val="nil"/>
            </w:tcBorders>
            <w:shd w:val="clear" w:color="auto" w:fill="auto"/>
            <w:hideMark/>
          </w:tcPr>
          <w:p w:rsidR="009226F8" w:rsidRPr="009226F8" w:rsidRDefault="009226F8" w:rsidP="0067794B">
            <w:pPr>
              <w:rPr>
                <w:color w:val="000000"/>
                <w:sz w:val="20"/>
                <w:szCs w:val="20"/>
              </w:rPr>
            </w:pPr>
          </w:p>
        </w:tc>
        <w:tc>
          <w:tcPr>
            <w:tcW w:w="1162" w:type="dxa"/>
            <w:tcBorders>
              <w:top w:val="nil"/>
              <w:left w:val="nil"/>
              <w:bottom w:val="nil"/>
              <w:right w:val="nil"/>
            </w:tcBorders>
            <w:shd w:val="clear" w:color="auto" w:fill="auto"/>
            <w:hideMark/>
          </w:tcPr>
          <w:p w:rsidR="009226F8" w:rsidRPr="009226F8" w:rsidRDefault="009226F8" w:rsidP="0067794B">
            <w:pPr>
              <w:rPr>
                <w:color w:val="000000"/>
                <w:sz w:val="20"/>
                <w:szCs w:val="20"/>
              </w:rPr>
            </w:pPr>
          </w:p>
        </w:tc>
        <w:tc>
          <w:tcPr>
            <w:tcW w:w="1778" w:type="dxa"/>
            <w:tcBorders>
              <w:top w:val="nil"/>
              <w:left w:val="nil"/>
              <w:bottom w:val="nil"/>
              <w:right w:val="nil"/>
            </w:tcBorders>
            <w:shd w:val="clear" w:color="auto" w:fill="auto"/>
            <w:hideMark/>
          </w:tcPr>
          <w:p w:rsidR="009226F8" w:rsidRPr="009226F8" w:rsidRDefault="009226F8" w:rsidP="0067794B">
            <w:pPr>
              <w:rPr>
                <w:color w:val="000000"/>
                <w:sz w:val="20"/>
                <w:szCs w:val="20"/>
              </w:rPr>
            </w:pPr>
          </w:p>
        </w:tc>
        <w:tc>
          <w:tcPr>
            <w:tcW w:w="1168" w:type="dxa"/>
            <w:tcBorders>
              <w:top w:val="nil"/>
              <w:left w:val="nil"/>
              <w:bottom w:val="nil"/>
              <w:right w:val="nil"/>
            </w:tcBorders>
            <w:shd w:val="clear" w:color="auto" w:fill="auto"/>
            <w:hideMark/>
          </w:tcPr>
          <w:p w:rsidR="009226F8" w:rsidRPr="009226F8" w:rsidRDefault="009226F8" w:rsidP="0067794B">
            <w:pPr>
              <w:rPr>
                <w:color w:val="000000"/>
                <w:sz w:val="20"/>
                <w:szCs w:val="20"/>
              </w:rPr>
            </w:pP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YEAR</w:t>
            </w:r>
          </w:p>
        </w:tc>
        <w:tc>
          <w:tcPr>
            <w:tcW w:w="116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R</w:t>
            </w:r>
            <w:r w:rsidRPr="009226F8">
              <w:rPr>
                <w:b/>
                <w:bCs/>
                <w:color w:val="000000"/>
                <w:sz w:val="20"/>
                <w:szCs w:val="20"/>
                <w:vertAlign w:val="superscript"/>
              </w:rPr>
              <w:t>2</w:t>
            </w:r>
          </w:p>
        </w:tc>
        <w:tc>
          <w:tcPr>
            <w:tcW w:w="119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Intercept</w:t>
            </w:r>
            <w:proofErr w:type="spellEnd"/>
          </w:p>
        </w:tc>
        <w:tc>
          <w:tcPr>
            <w:tcW w:w="116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Std</w:t>
            </w:r>
            <w:proofErr w:type="spellEnd"/>
            <w:r w:rsidRPr="009226F8">
              <w:rPr>
                <w:b/>
                <w:bCs/>
                <w:color w:val="000000"/>
                <w:sz w:val="20"/>
                <w:szCs w:val="20"/>
              </w:rPr>
              <w:t xml:space="preserve"> </w:t>
            </w:r>
            <w:proofErr w:type="spellStart"/>
            <w:r w:rsidRPr="009226F8">
              <w:rPr>
                <w:b/>
                <w:bCs/>
                <w:color w:val="000000"/>
                <w:sz w:val="20"/>
                <w:szCs w:val="20"/>
              </w:rPr>
              <w:t>Dev</w:t>
            </w:r>
            <w:proofErr w:type="spellEnd"/>
          </w:p>
        </w:tc>
        <w:tc>
          <w:tcPr>
            <w:tcW w:w="177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log(POP)</w:t>
            </w:r>
          </w:p>
        </w:tc>
        <w:tc>
          <w:tcPr>
            <w:tcW w:w="116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Std</w:t>
            </w:r>
            <w:proofErr w:type="spellEnd"/>
            <w:r w:rsidRPr="009226F8">
              <w:rPr>
                <w:b/>
                <w:bCs/>
                <w:color w:val="000000"/>
                <w:sz w:val="20"/>
                <w:szCs w:val="20"/>
              </w:rPr>
              <w:t xml:space="preserve"> </w:t>
            </w:r>
            <w:proofErr w:type="spellStart"/>
            <w:r w:rsidRPr="009226F8">
              <w:rPr>
                <w:b/>
                <w:bCs/>
                <w:color w:val="000000"/>
                <w:sz w:val="20"/>
                <w:szCs w:val="20"/>
              </w:rPr>
              <w:t>Dev</w:t>
            </w:r>
            <w:proofErr w:type="spellEnd"/>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0.009</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1.482</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0.020</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0.025</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0.017</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1.474</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0.020</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0.022</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0.025</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0.026</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1.468</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0.020</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0.025</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0.038</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1.460</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0.019</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0.033</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0.024</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0.053</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1.452</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0.019</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0.023</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0.071</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1.442</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0.043</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0.022</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0.091</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1.433</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0.022</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92</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0.106</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1.416</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0.052</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0.022</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93</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0.117</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1.400</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0.055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0.022</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94</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0.113</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1.390</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0.052</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0.021</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0.098</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1.383</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0.021</w:t>
            </w:r>
          </w:p>
        </w:tc>
      </w:tr>
      <w:tr w:rsidR="009226F8" w:rsidRPr="009226F8" w:rsidTr="0067794B">
        <w:trPr>
          <w:trHeight w:val="259"/>
        </w:trPr>
        <w:tc>
          <w:tcPr>
            <w:tcW w:w="7940" w:type="dxa"/>
            <w:gridSpan w:val="6"/>
            <w:tcBorders>
              <w:top w:val="nil"/>
              <w:left w:val="nil"/>
              <w:bottom w:val="nil"/>
              <w:right w:val="nil"/>
            </w:tcBorders>
            <w:shd w:val="clear" w:color="auto" w:fill="auto"/>
            <w:hideMark/>
          </w:tcPr>
          <w:p w:rsidR="009226F8" w:rsidRPr="009226F8" w:rsidRDefault="009226F8" w:rsidP="0067794B">
            <w:pPr>
              <w:rPr>
                <w:i/>
                <w:iCs/>
                <w:color w:val="000000"/>
                <w:sz w:val="20"/>
                <w:szCs w:val="20"/>
              </w:rPr>
            </w:pPr>
            <w:proofErr w:type="spellStart"/>
            <w:r w:rsidRPr="009226F8">
              <w:rPr>
                <w:i/>
                <w:iCs/>
                <w:color w:val="000000"/>
                <w:sz w:val="20"/>
                <w:szCs w:val="20"/>
              </w:rPr>
              <w:t>Population</w:t>
            </w:r>
            <w:proofErr w:type="spellEnd"/>
            <w:r w:rsidRPr="009226F8">
              <w:rPr>
                <w:i/>
                <w:iCs/>
                <w:color w:val="000000"/>
                <w:sz w:val="20"/>
                <w:szCs w:val="20"/>
              </w:rPr>
              <w:t xml:space="preserve"> </w:t>
            </w:r>
            <w:proofErr w:type="spellStart"/>
            <w:r w:rsidRPr="009226F8">
              <w:rPr>
                <w:i/>
                <w:iCs/>
                <w:color w:val="000000"/>
                <w:sz w:val="20"/>
                <w:szCs w:val="20"/>
              </w:rPr>
              <w:t>density</w:t>
            </w:r>
            <w:proofErr w:type="spellEnd"/>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YEAR</w:t>
            </w:r>
          </w:p>
        </w:tc>
        <w:tc>
          <w:tcPr>
            <w:tcW w:w="116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R</w:t>
            </w:r>
            <w:r w:rsidRPr="009226F8">
              <w:rPr>
                <w:b/>
                <w:bCs/>
                <w:color w:val="000000"/>
                <w:sz w:val="20"/>
                <w:szCs w:val="20"/>
                <w:vertAlign w:val="superscript"/>
              </w:rPr>
              <w:t>2</w:t>
            </w:r>
          </w:p>
        </w:tc>
        <w:tc>
          <w:tcPr>
            <w:tcW w:w="119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Intercept</w:t>
            </w:r>
            <w:proofErr w:type="spellEnd"/>
          </w:p>
        </w:tc>
        <w:tc>
          <w:tcPr>
            <w:tcW w:w="116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Std</w:t>
            </w:r>
            <w:proofErr w:type="spellEnd"/>
            <w:r w:rsidRPr="009226F8">
              <w:rPr>
                <w:b/>
                <w:bCs/>
                <w:color w:val="000000"/>
                <w:sz w:val="20"/>
                <w:szCs w:val="20"/>
              </w:rPr>
              <w:t xml:space="preserve"> </w:t>
            </w:r>
            <w:proofErr w:type="spellStart"/>
            <w:r w:rsidRPr="009226F8">
              <w:rPr>
                <w:b/>
                <w:bCs/>
                <w:color w:val="000000"/>
                <w:sz w:val="20"/>
                <w:szCs w:val="20"/>
              </w:rPr>
              <w:t>Dev</w:t>
            </w:r>
            <w:proofErr w:type="spellEnd"/>
          </w:p>
        </w:tc>
        <w:tc>
          <w:tcPr>
            <w:tcW w:w="177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log(POP/AREA)</w:t>
            </w:r>
          </w:p>
        </w:tc>
        <w:tc>
          <w:tcPr>
            <w:tcW w:w="116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Std</w:t>
            </w:r>
            <w:proofErr w:type="spellEnd"/>
            <w:r w:rsidRPr="009226F8">
              <w:rPr>
                <w:b/>
                <w:bCs/>
                <w:color w:val="000000"/>
                <w:sz w:val="20"/>
                <w:szCs w:val="20"/>
              </w:rPr>
              <w:t xml:space="preserve"> </w:t>
            </w:r>
            <w:proofErr w:type="spellStart"/>
            <w:r w:rsidRPr="009226F8">
              <w:rPr>
                <w:b/>
                <w:bCs/>
                <w:color w:val="000000"/>
                <w:sz w:val="20"/>
                <w:szCs w:val="20"/>
              </w:rPr>
              <w:t>Dev</w:t>
            </w:r>
            <w:proofErr w:type="spellEnd"/>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0.009</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1.482</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0.020</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0.013</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0.019</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0.015</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1.474</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0.020</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0.019</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0.020</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1.468</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0.020</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0.019</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0.032</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1.460</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0.019</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0.023</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0.019</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0.045</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1.452</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0.019</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0.018</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0.062</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1.442</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0.032</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0.018</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0.081</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1.433</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0.017</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92</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0.093</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1.416</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0.017</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93</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0.102</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1.400</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0.017</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94</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0.101</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1.390</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0.017</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0.090</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1.383</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0.017</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rPr>
                <w:i/>
                <w:iCs/>
                <w:color w:val="000000"/>
                <w:sz w:val="20"/>
                <w:szCs w:val="20"/>
              </w:rPr>
            </w:pPr>
            <w:proofErr w:type="spellStart"/>
            <w:r w:rsidRPr="009226F8">
              <w:rPr>
                <w:i/>
                <w:iCs/>
                <w:color w:val="000000"/>
                <w:sz w:val="20"/>
                <w:szCs w:val="20"/>
              </w:rPr>
              <w:t>Employment</w:t>
            </w:r>
            <w:proofErr w:type="spellEnd"/>
          </w:p>
        </w:tc>
        <w:tc>
          <w:tcPr>
            <w:tcW w:w="1168" w:type="dxa"/>
            <w:tcBorders>
              <w:top w:val="nil"/>
              <w:left w:val="nil"/>
              <w:bottom w:val="nil"/>
              <w:right w:val="nil"/>
            </w:tcBorders>
            <w:shd w:val="clear" w:color="auto" w:fill="auto"/>
            <w:hideMark/>
          </w:tcPr>
          <w:p w:rsidR="009226F8" w:rsidRPr="009226F8" w:rsidRDefault="009226F8" w:rsidP="0067794B">
            <w:pPr>
              <w:rPr>
                <w:color w:val="000000"/>
                <w:sz w:val="20"/>
                <w:szCs w:val="20"/>
              </w:rPr>
            </w:pPr>
          </w:p>
        </w:tc>
        <w:tc>
          <w:tcPr>
            <w:tcW w:w="1192" w:type="dxa"/>
            <w:tcBorders>
              <w:top w:val="nil"/>
              <w:left w:val="nil"/>
              <w:bottom w:val="nil"/>
              <w:right w:val="nil"/>
            </w:tcBorders>
            <w:shd w:val="clear" w:color="auto" w:fill="auto"/>
            <w:hideMark/>
          </w:tcPr>
          <w:p w:rsidR="009226F8" w:rsidRPr="009226F8" w:rsidRDefault="009226F8" w:rsidP="0067794B">
            <w:pPr>
              <w:rPr>
                <w:color w:val="000000"/>
                <w:sz w:val="20"/>
                <w:szCs w:val="20"/>
              </w:rPr>
            </w:pPr>
          </w:p>
        </w:tc>
        <w:tc>
          <w:tcPr>
            <w:tcW w:w="1162" w:type="dxa"/>
            <w:tcBorders>
              <w:top w:val="nil"/>
              <w:left w:val="nil"/>
              <w:bottom w:val="nil"/>
              <w:right w:val="nil"/>
            </w:tcBorders>
            <w:shd w:val="clear" w:color="auto" w:fill="auto"/>
            <w:hideMark/>
          </w:tcPr>
          <w:p w:rsidR="009226F8" w:rsidRPr="009226F8" w:rsidRDefault="009226F8" w:rsidP="0067794B">
            <w:pPr>
              <w:rPr>
                <w:color w:val="000000"/>
                <w:sz w:val="20"/>
                <w:szCs w:val="20"/>
              </w:rPr>
            </w:pPr>
          </w:p>
        </w:tc>
        <w:tc>
          <w:tcPr>
            <w:tcW w:w="1778" w:type="dxa"/>
            <w:tcBorders>
              <w:top w:val="nil"/>
              <w:left w:val="nil"/>
              <w:bottom w:val="nil"/>
              <w:right w:val="nil"/>
            </w:tcBorders>
            <w:shd w:val="clear" w:color="auto" w:fill="auto"/>
            <w:hideMark/>
          </w:tcPr>
          <w:p w:rsidR="009226F8" w:rsidRPr="009226F8" w:rsidRDefault="009226F8" w:rsidP="0067794B">
            <w:pPr>
              <w:rPr>
                <w:color w:val="000000"/>
                <w:sz w:val="20"/>
                <w:szCs w:val="20"/>
              </w:rPr>
            </w:pPr>
          </w:p>
        </w:tc>
        <w:tc>
          <w:tcPr>
            <w:tcW w:w="1168" w:type="dxa"/>
            <w:tcBorders>
              <w:top w:val="nil"/>
              <w:left w:val="nil"/>
              <w:bottom w:val="nil"/>
              <w:right w:val="nil"/>
            </w:tcBorders>
            <w:shd w:val="clear" w:color="auto" w:fill="auto"/>
            <w:hideMark/>
          </w:tcPr>
          <w:p w:rsidR="009226F8" w:rsidRPr="009226F8" w:rsidRDefault="009226F8" w:rsidP="0067794B">
            <w:pPr>
              <w:rPr>
                <w:color w:val="000000"/>
                <w:sz w:val="20"/>
                <w:szCs w:val="20"/>
              </w:rPr>
            </w:pP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YEAR</w:t>
            </w:r>
          </w:p>
        </w:tc>
        <w:tc>
          <w:tcPr>
            <w:tcW w:w="116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R</w:t>
            </w:r>
            <w:r w:rsidRPr="009226F8">
              <w:rPr>
                <w:b/>
                <w:bCs/>
                <w:color w:val="000000"/>
                <w:sz w:val="20"/>
                <w:szCs w:val="20"/>
                <w:vertAlign w:val="superscript"/>
              </w:rPr>
              <w:t>2</w:t>
            </w:r>
          </w:p>
        </w:tc>
        <w:tc>
          <w:tcPr>
            <w:tcW w:w="119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Intercept</w:t>
            </w:r>
            <w:proofErr w:type="spellEnd"/>
          </w:p>
        </w:tc>
        <w:tc>
          <w:tcPr>
            <w:tcW w:w="116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Std</w:t>
            </w:r>
            <w:proofErr w:type="spellEnd"/>
            <w:r w:rsidRPr="009226F8">
              <w:rPr>
                <w:b/>
                <w:bCs/>
                <w:color w:val="000000"/>
                <w:sz w:val="20"/>
                <w:szCs w:val="20"/>
              </w:rPr>
              <w:t xml:space="preserve"> </w:t>
            </w:r>
            <w:proofErr w:type="spellStart"/>
            <w:r w:rsidRPr="009226F8">
              <w:rPr>
                <w:b/>
                <w:bCs/>
                <w:color w:val="000000"/>
                <w:sz w:val="20"/>
                <w:szCs w:val="20"/>
              </w:rPr>
              <w:t>Dev</w:t>
            </w:r>
            <w:proofErr w:type="spellEnd"/>
          </w:p>
        </w:tc>
        <w:tc>
          <w:tcPr>
            <w:tcW w:w="177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log(EMP)</w:t>
            </w:r>
          </w:p>
        </w:tc>
        <w:tc>
          <w:tcPr>
            <w:tcW w:w="116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Std</w:t>
            </w:r>
            <w:proofErr w:type="spellEnd"/>
            <w:r w:rsidRPr="009226F8">
              <w:rPr>
                <w:b/>
                <w:bCs/>
                <w:color w:val="000000"/>
                <w:sz w:val="20"/>
                <w:szCs w:val="20"/>
              </w:rPr>
              <w:t xml:space="preserve"> </w:t>
            </w:r>
            <w:proofErr w:type="spellStart"/>
            <w:r w:rsidRPr="009226F8">
              <w:rPr>
                <w:b/>
                <w:bCs/>
                <w:color w:val="000000"/>
                <w:sz w:val="20"/>
                <w:szCs w:val="20"/>
              </w:rPr>
              <w:t>Dev</w:t>
            </w:r>
            <w:proofErr w:type="spellEnd"/>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0.031</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1.482</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0.020</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0.025</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0.046</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1.474</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0.019</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0.025</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0.060</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1.468</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0.019</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0.043</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0.025</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0.081</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1.460</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0.019</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0.024</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0.103</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1.452</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0.053</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0.023</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0.128</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1.442</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0.058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0.022</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0.152</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1.433</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0.063</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0.022</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92</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0.169</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1.416</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0.066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0.021</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93</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0.180</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1.400</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0.070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0.022</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94</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0.176</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1.390</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0.066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0.021</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0.156</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1.383</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0.062</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0.021</w:t>
            </w:r>
          </w:p>
        </w:tc>
      </w:tr>
      <w:tr w:rsidR="009226F8" w:rsidRPr="009226F8" w:rsidTr="0067794B">
        <w:trPr>
          <w:trHeight w:val="259"/>
        </w:trPr>
        <w:tc>
          <w:tcPr>
            <w:tcW w:w="7940" w:type="dxa"/>
            <w:gridSpan w:val="6"/>
            <w:tcBorders>
              <w:top w:val="nil"/>
              <w:left w:val="nil"/>
              <w:bottom w:val="nil"/>
              <w:right w:val="nil"/>
            </w:tcBorders>
            <w:shd w:val="clear" w:color="auto" w:fill="auto"/>
            <w:hideMark/>
          </w:tcPr>
          <w:p w:rsidR="009226F8" w:rsidRPr="009226F8" w:rsidRDefault="009226F8" w:rsidP="0067794B">
            <w:pPr>
              <w:rPr>
                <w:i/>
                <w:iCs/>
                <w:color w:val="000000"/>
                <w:sz w:val="20"/>
                <w:szCs w:val="20"/>
              </w:rPr>
            </w:pPr>
            <w:proofErr w:type="spellStart"/>
            <w:r w:rsidRPr="009226F8">
              <w:rPr>
                <w:i/>
                <w:iCs/>
                <w:color w:val="000000"/>
                <w:sz w:val="20"/>
                <w:szCs w:val="20"/>
              </w:rPr>
              <w:t>Employment</w:t>
            </w:r>
            <w:proofErr w:type="spellEnd"/>
            <w:r w:rsidRPr="009226F8">
              <w:rPr>
                <w:i/>
                <w:iCs/>
                <w:color w:val="000000"/>
                <w:sz w:val="20"/>
                <w:szCs w:val="20"/>
              </w:rPr>
              <w:t xml:space="preserve"> </w:t>
            </w:r>
            <w:proofErr w:type="spellStart"/>
            <w:r w:rsidRPr="009226F8">
              <w:rPr>
                <w:i/>
                <w:iCs/>
                <w:color w:val="000000"/>
                <w:sz w:val="20"/>
                <w:szCs w:val="20"/>
              </w:rPr>
              <w:t>density</w:t>
            </w:r>
            <w:proofErr w:type="spellEnd"/>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YEAR</w:t>
            </w:r>
          </w:p>
        </w:tc>
        <w:tc>
          <w:tcPr>
            <w:tcW w:w="116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R</w:t>
            </w:r>
            <w:r w:rsidRPr="009226F8">
              <w:rPr>
                <w:b/>
                <w:bCs/>
                <w:color w:val="000000"/>
                <w:sz w:val="20"/>
                <w:szCs w:val="20"/>
                <w:vertAlign w:val="superscript"/>
              </w:rPr>
              <w:t>2</w:t>
            </w:r>
          </w:p>
        </w:tc>
        <w:tc>
          <w:tcPr>
            <w:tcW w:w="119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Intercept</w:t>
            </w:r>
            <w:proofErr w:type="spellEnd"/>
          </w:p>
        </w:tc>
        <w:tc>
          <w:tcPr>
            <w:tcW w:w="116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Std</w:t>
            </w:r>
            <w:proofErr w:type="spellEnd"/>
            <w:r w:rsidRPr="009226F8">
              <w:rPr>
                <w:b/>
                <w:bCs/>
                <w:color w:val="000000"/>
                <w:sz w:val="20"/>
                <w:szCs w:val="20"/>
              </w:rPr>
              <w:t xml:space="preserve"> </w:t>
            </w:r>
            <w:proofErr w:type="spellStart"/>
            <w:r w:rsidRPr="009226F8">
              <w:rPr>
                <w:b/>
                <w:bCs/>
                <w:color w:val="000000"/>
                <w:sz w:val="20"/>
                <w:szCs w:val="20"/>
              </w:rPr>
              <w:t>Dev</w:t>
            </w:r>
            <w:proofErr w:type="spellEnd"/>
          </w:p>
        </w:tc>
        <w:tc>
          <w:tcPr>
            <w:tcW w:w="177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log(EMP/AREA)</w:t>
            </w:r>
          </w:p>
        </w:tc>
        <w:tc>
          <w:tcPr>
            <w:tcW w:w="116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Std</w:t>
            </w:r>
            <w:proofErr w:type="spellEnd"/>
            <w:r w:rsidRPr="009226F8">
              <w:rPr>
                <w:b/>
                <w:bCs/>
                <w:color w:val="000000"/>
                <w:sz w:val="20"/>
                <w:szCs w:val="20"/>
              </w:rPr>
              <w:t xml:space="preserve"> </w:t>
            </w:r>
            <w:proofErr w:type="spellStart"/>
            <w:r w:rsidRPr="009226F8">
              <w:rPr>
                <w:b/>
                <w:bCs/>
                <w:color w:val="000000"/>
                <w:sz w:val="20"/>
                <w:szCs w:val="20"/>
              </w:rPr>
              <w:t>Dev</w:t>
            </w:r>
            <w:proofErr w:type="spellEnd"/>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0.023</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1.482</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0.020</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0.019</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0.033</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1.474</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0.019</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0.024</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0.019</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0.042</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1.468</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0.020</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0.019</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0.058</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1.460</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0.019</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0.018</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0.077</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1.452</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0.018</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0.098</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1.442</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0.017</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0.119</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1.433</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0.043</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0.017</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92</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0.132</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1.416</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0.017</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93</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0.140</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1.400</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0.017</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94</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0.139</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1.390</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0.016</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0.126</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1.383</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0.043</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0.016</w:t>
            </w:r>
          </w:p>
        </w:tc>
      </w:tr>
    </w:tbl>
    <w:p w:rsidR="009226F8" w:rsidRPr="009226F8" w:rsidRDefault="009226F8" w:rsidP="009226F8">
      <w:pPr>
        <w:pStyle w:val="ICABRPictures-Tables"/>
        <w:rPr>
          <w:rFonts w:ascii="Times New Roman" w:hAnsi="Times New Roman"/>
          <w:sz w:val="20"/>
          <w:szCs w:val="20"/>
        </w:rPr>
      </w:pPr>
      <w:r w:rsidRPr="009226F8">
        <w:rPr>
          <w:rFonts w:ascii="Times New Roman" w:hAnsi="Times New Roman"/>
          <w:sz w:val="20"/>
          <w:szCs w:val="20"/>
        </w:rPr>
        <w:lastRenderedPageBreak/>
        <w:t xml:space="preserve"> Table A2 </w:t>
      </w:r>
      <w:proofErr w:type="spellStart"/>
      <w:r w:rsidRPr="009226F8">
        <w:rPr>
          <w:rFonts w:ascii="Times New Roman" w:hAnsi="Times New Roman"/>
          <w:sz w:val="20"/>
          <w:szCs w:val="20"/>
        </w:rPr>
        <w:t>Domar</w:t>
      </w:r>
      <w:proofErr w:type="spellEnd"/>
      <w:r w:rsidRPr="009226F8">
        <w:rPr>
          <w:rFonts w:ascii="Times New Roman" w:hAnsi="Times New Roman"/>
          <w:sz w:val="20"/>
          <w:szCs w:val="20"/>
        </w:rPr>
        <w:t xml:space="preserve"> factor regressions on province size. Manufacturing</w:t>
      </w:r>
    </w:p>
    <w:tbl>
      <w:tblPr>
        <w:tblW w:w="7940" w:type="dxa"/>
        <w:tblInd w:w="70" w:type="dxa"/>
        <w:tblCellMar>
          <w:left w:w="70" w:type="dxa"/>
          <w:right w:w="70" w:type="dxa"/>
        </w:tblCellMar>
        <w:tblLook w:val="04A0"/>
      </w:tblPr>
      <w:tblGrid>
        <w:gridCol w:w="1472"/>
        <w:gridCol w:w="1168"/>
        <w:gridCol w:w="1192"/>
        <w:gridCol w:w="1162"/>
        <w:gridCol w:w="1778"/>
        <w:gridCol w:w="1168"/>
      </w:tblGrid>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rPr>
                <w:i/>
                <w:iCs/>
                <w:color w:val="000000"/>
                <w:sz w:val="20"/>
                <w:szCs w:val="20"/>
              </w:rPr>
            </w:pPr>
            <w:proofErr w:type="spellStart"/>
            <w:r w:rsidRPr="009226F8">
              <w:rPr>
                <w:i/>
                <w:iCs/>
                <w:color w:val="000000"/>
                <w:sz w:val="20"/>
                <w:szCs w:val="20"/>
              </w:rPr>
              <w:t>Population</w:t>
            </w:r>
            <w:proofErr w:type="spellEnd"/>
          </w:p>
        </w:tc>
        <w:tc>
          <w:tcPr>
            <w:tcW w:w="1168" w:type="dxa"/>
            <w:tcBorders>
              <w:top w:val="nil"/>
              <w:left w:val="nil"/>
              <w:bottom w:val="nil"/>
              <w:right w:val="nil"/>
            </w:tcBorders>
            <w:shd w:val="clear" w:color="auto" w:fill="auto"/>
            <w:hideMark/>
          </w:tcPr>
          <w:p w:rsidR="009226F8" w:rsidRPr="009226F8" w:rsidRDefault="009226F8" w:rsidP="0067794B">
            <w:pPr>
              <w:rPr>
                <w:i/>
                <w:iCs/>
                <w:color w:val="000000"/>
                <w:sz w:val="20"/>
                <w:szCs w:val="20"/>
              </w:rPr>
            </w:pPr>
          </w:p>
        </w:tc>
        <w:tc>
          <w:tcPr>
            <w:tcW w:w="1192" w:type="dxa"/>
            <w:tcBorders>
              <w:top w:val="nil"/>
              <w:left w:val="nil"/>
              <w:bottom w:val="nil"/>
              <w:right w:val="nil"/>
            </w:tcBorders>
            <w:shd w:val="clear" w:color="auto" w:fill="auto"/>
            <w:hideMark/>
          </w:tcPr>
          <w:p w:rsidR="009226F8" w:rsidRPr="009226F8" w:rsidRDefault="009226F8" w:rsidP="0067794B">
            <w:pPr>
              <w:rPr>
                <w:i/>
                <w:iCs/>
                <w:color w:val="000000"/>
                <w:sz w:val="20"/>
                <w:szCs w:val="20"/>
              </w:rPr>
            </w:pPr>
          </w:p>
        </w:tc>
        <w:tc>
          <w:tcPr>
            <w:tcW w:w="1162" w:type="dxa"/>
            <w:tcBorders>
              <w:top w:val="nil"/>
              <w:left w:val="nil"/>
              <w:bottom w:val="nil"/>
              <w:right w:val="nil"/>
            </w:tcBorders>
            <w:shd w:val="clear" w:color="auto" w:fill="auto"/>
            <w:hideMark/>
          </w:tcPr>
          <w:p w:rsidR="009226F8" w:rsidRPr="009226F8" w:rsidRDefault="009226F8" w:rsidP="0067794B">
            <w:pPr>
              <w:rPr>
                <w:i/>
                <w:iCs/>
                <w:color w:val="000000"/>
                <w:sz w:val="20"/>
                <w:szCs w:val="20"/>
              </w:rPr>
            </w:pPr>
          </w:p>
        </w:tc>
        <w:tc>
          <w:tcPr>
            <w:tcW w:w="1778" w:type="dxa"/>
            <w:tcBorders>
              <w:top w:val="nil"/>
              <w:left w:val="nil"/>
              <w:bottom w:val="nil"/>
              <w:right w:val="nil"/>
            </w:tcBorders>
            <w:shd w:val="clear" w:color="auto" w:fill="auto"/>
            <w:hideMark/>
          </w:tcPr>
          <w:p w:rsidR="009226F8" w:rsidRPr="009226F8" w:rsidRDefault="009226F8" w:rsidP="0067794B">
            <w:pPr>
              <w:rPr>
                <w:i/>
                <w:iCs/>
                <w:color w:val="000000"/>
                <w:sz w:val="20"/>
                <w:szCs w:val="20"/>
              </w:rPr>
            </w:pPr>
          </w:p>
        </w:tc>
        <w:tc>
          <w:tcPr>
            <w:tcW w:w="1168" w:type="dxa"/>
            <w:tcBorders>
              <w:top w:val="nil"/>
              <w:left w:val="nil"/>
              <w:bottom w:val="nil"/>
              <w:right w:val="nil"/>
            </w:tcBorders>
            <w:shd w:val="clear" w:color="auto" w:fill="auto"/>
            <w:hideMark/>
          </w:tcPr>
          <w:p w:rsidR="009226F8" w:rsidRPr="009226F8" w:rsidRDefault="009226F8" w:rsidP="0067794B">
            <w:pPr>
              <w:rPr>
                <w:i/>
                <w:iCs/>
                <w:color w:val="000000"/>
                <w:sz w:val="20"/>
                <w:szCs w:val="20"/>
              </w:rPr>
            </w:pP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b/>
                <w:iCs/>
                <w:color w:val="000000"/>
                <w:sz w:val="20"/>
                <w:szCs w:val="20"/>
              </w:rPr>
            </w:pPr>
            <w:r w:rsidRPr="009226F8">
              <w:rPr>
                <w:b/>
                <w:iCs/>
                <w:color w:val="000000"/>
                <w:sz w:val="20"/>
                <w:szCs w:val="20"/>
              </w:rPr>
              <w:t>YEAR</w:t>
            </w:r>
          </w:p>
        </w:tc>
        <w:tc>
          <w:tcPr>
            <w:tcW w:w="1168" w:type="dxa"/>
            <w:tcBorders>
              <w:top w:val="nil"/>
              <w:left w:val="nil"/>
              <w:bottom w:val="nil"/>
              <w:right w:val="nil"/>
            </w:tcBorders>
            <w:shd w:val="clear" w:color="auto" w:fill="auto"/>
            <w:hideMark/>
          </w:tcPr>
          <w:p w:rsidR="009226F8" w:rsidRPr="009226F8" w:rsidRDefault="009226F8" w:rsidP="0067794B">
            <w:pPr>
              <w:jc w:val="center"/>
              <w:rPr>
                <w:b/>
                <w:iCs/>
                <w:color w:val="000000"/>
                <w:sz w:val="20"/>
                <w:szCs w:val="20"/>
              </w:rPr>
            </w:pPr>
            <w:r w:rsidRPr="009226F8">
              <w:rPr>
                <w:b/>
                <w:iCs/>
                <w:color w:val="000000"/>
                <w:sz w:val="20"/>
                <w:szCs w:val="20"/>
              </w:rPr>
              <w:t>R</w:t>
            </w:r>
            <w:r w:rsidRPr="009226F8">
              <w:rPr>
                <w:b/>
                <w:iCs/>
                <w:color w:val="000000"/>
                <w:sz w:val="20"/>
                <w:szCs w:val="20"/>
                <w:vertAlign w:val="superscript"/>
              </w:rPr>
              <w:t>2</w:t>
            </w:r>
          </w:p>
        </w:tc>
        <w:tc>
          <w:tcPr>
            <w:tcW w:w="1192" w:type="dxa"/>
            <w:tcBorders>
              <w:top w:val="nil"/>
              <w:left w:val="nil"/>
              <w:bottom w:val="nil"/>
              <w:right w:val="nil"/>
            </w:tcBorders>
            <w:shd w:val="clear" w:color="auto" w:fill="auto"/>
            <w:hideMark/>
          </w:tcPr>
          <w:p w:rsidR="009226F8" w:rsidRPr="009226F8" w:rsidRDefault="009226F8" w:rsidP="0067794B">
            <w:pPr>
              <w:jc w:val="center"/>
              <w:rPr>
                <w:b/>
                <w:iCs/>
                <w:color w:val="000000"/>
                <w:sz w:val="20"/>
                <w:szCs w:val="20"/>
              </w:rPr>
            </w:pPr>
            <w:proofErr w:type="spellStart"/>
            <w:r w:rsidRPr="009226F8">
              <w:rPr>
                <w:b/>
                <w:iCs/>
                <w:color w:val="000000"/>
                <w:sz w:val="20"/>
                <w:szCs w:val="20"/>
              </w:rPr>
              <w:t>Intercept</w:t>
            </w:r>
            <w:proofErr w:type="spellEnd"/>
          </w:p>
        </w:tc>
        <w:tc>
          <w:tcPr>
            <w:tcW w:w="1162" w:type="dxa"/>
            <w:tcBorders>
              <w:top w:val="nil"/>
              <w:left w:val="nil"/>
              <w:bottom w:val="nil"/>
              <w:right w:val="nil"/>
            </w:tcBorders>
            <w:shd w:val="clear" w:color="auto" w:fill="auto"/>
            <w:hideMark/>
          </w:tcPr>
          <w:p w:rsidR="009226F8" w:rsidRPr="009226F8" w:rsidRDefault="009226F8" w:rsidP="0067794B">
            <w:pPr>
              <w:jc w:val="center"/>
              <w:rPr>
                <w:b/>
                <w:iCs/>
                <w:color w:val="000000"/>
                <w:sz w:val="20"/>
                <w:szCs w:val="20"/>
              </w:rPr>
            </w:pPr>
            <w:proofErr w:type="spellStart"/>
            <w:r w:rsidRPr="009226F8">
              <w:rPr>
                <w:b/>
                <w:iCs/>
                <w:color w:val="000000"/>
                <w:sz w:val="20"/>
                <w:szCs w:val="20"/>
              </w:rPr>
              <w:t>Std</w:t>
            </w:r>
            <w:proofErr w:type="spellEnd"/>
            <w:r w:rsidRPr="009226F8">
              <w:rPr>
                <w:b/>
                <w:iCs/>
                <w:color w:val="000000"/>
                <w:sz w:val="20"/>
                <w:szCs w:val="20"/>
              </w:rPr>
              <w:t xml:space="preserve"> </w:t>
            </w:r>
            <w:proofErr w:type="spellStart"/>
            <w:r w:rsidRPr="009226F8">
              <w:rPr>
                <w:b/>
                <w:iCs/>
                <w:color w:val="000000"/>
                <w:sz w:val="20"/>
                <w:szCs w:val="20"/>
              </w:rPr>
              <w:t>Dev</w:t>
            </w:r>
            <w:proofErr w:type="spellEnd"/>
          </w:p>
        </w:tc>
        <w:tc>
          <w:tcPr>
            <w:tcW w:w="1778" w:type="dxa"/>
            <w:tcBorders>
              <w:top w:val="nil"/>
              <w:left w:val="nil"/>
              <w:bottom w:val="nil"/>
              <w:right w:val="nil"/>
            </w:tcBorders>
            <w:shd w:val="clear" w:color="auto" w:fill="auto"/>
            <w:hideMark/>
          </w:tcPr>
          <w:p w:rsidR="009226F8" w:rsidRPr="009226F8" w:rsidRDefault="009226F8" w:rsidP="0067794B">
            <w:pPr>
              <w:jc w:val="center"/>
              <w:rPr>
                <w:b/>
                <w:iCs/>
                <w:color w:val="000000"/>
                <w:sz w:val="20"/>
                <w:szCs w:val="20"/>
              </w:rPr>
            </w:pPr>
            <w:r w:rsidRPr="009226F8">
              <w:rPr>
                <w:b/>
                <w:iCs/>
                <w:color w:val="000000"/>
                <w:sz w:val="20"/>
                <w:szCs w:val="20"/>
              </w:rPr>
              <w:t>log(POP)</w:t>
            </w:r>
          </w:p>
        </w:tc>
        <w:tc>
          <w:tcPr>
            <w:tcW w:w="1168" w:type="dxa"/>
            <w:tcBorders>
              <w:top w:val="nil"/>
              <w:left w:val="nil"/>
              <w:bottom w:val="nil"/>
              <w:right w:val="nil"/>
            </w:tcBorders>
            <w:shd w:val="clear" w:color="auto" w:fill="auto"/>
            <w:hideMark/>
          </w:tcPr>
          <w:p w:rsidR="009226F8" w:rsidRPr="009226F8" w:rsidRDefault="009226F8" w:rsidP="0067794B">
            <w:pPr>
              <w:jc w:val="center"/>
              <w:rPr>
                <w:b/>
                <w:iCs/>
                <w:color w:val="000000"/>
                <w:sz w:val="20"/>
                <w:szCs w:val="20"/>
              </w:rPr>
            </w:pPr>
            <w:proofErr w:type="spellStart"/>
            <w:r w:rsidRPr="009226F8">
              <w:rPr>
                <w:b/>
                <w:iCs/>
                <w:color w:val="000000"/>
                <w:sz w:val="20"/>
                <w:szCs w:val="20"/>
              </w:rPr>
              <w:t>Std</w:t>
            </w:r>
            <w:proofErr w:type="spellEnd"/>
            <w:r w:rsidRPr="009226F8">
              <w:rPr>
                <w:b/>
                <w:iCs/>
                <w:color w:val="000000"/>
                <w:sz w:val="20"/>
                <w:szCs w:val="20"/>
              </w:rPr>
              <w:t xml:space="preserve"> </w:t>
            </w:r>
            <w:proofErr w:type="spellStart"/>
            <w:r w:rsidRPr="009226F8">
              <w:rPr>
                <w:b/>
                <w:iCs/>
                <w:color w:val="000000"/>
                <w:sz w:val="20"/>
                <w:szCs w:val="20"/>
              </w:rPr>
              <w:t>Dev</w:t>
            </w:r>
            <w:proofErr w:type="spellEnd"/>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0.004</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2.867</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0.047</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0.013</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2.838</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0.039</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0.049</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0.012</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2.864</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0.048</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0.010</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2.862</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0.039</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-0.034</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0.049</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0.007</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2.852</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0.040</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0.049</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0.014</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2.851</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0.039</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0.048</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0.010</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2.837</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-0.032</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0.047</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92</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0.029</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2.908</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0.041</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-0.060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0.050</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93</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2.950</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0.042</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0.052</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94</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0.002</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3.021</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0.042</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0.052</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0.000</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3.102</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0.057</w:t>
            </w:r>
          </w:p>
        </w:tc>
      </w:tr>
      <w:tr w:rsidR="009226F8" w:rsidRPr="009226F8" w:rsidTr="0067794B">
        <w:trPr>
          <w:trHeight w:val="259"/>
        </w:trPr>
        <w:tc>
          <w:tcPr>
            <w:tcW w:w="7940" w:type="dxa"/>
            <w:gridSpan w:val="6"/>
            <w:tcBorders>
              <w:top w:val="nil"/>
              <w:left w:val="nil"/>
              <w:bottom w:val="nil"/>
              <w:right w:val="nil"/>
            </w:tcBorders>
            <w:shd w:val="clear" w:color="auto" w:fill="auto"/>
            <w:hideMark/>
          </w:tcPr>
          <w:p w:rsidR="009226F8" w:rsidRPr="009226F8" w:rsidRDefault="009226F8" w:rsidP="0067794B">
            <w:pPr>
              <w:rPr>
                <w:i/>
                <w:iCs/>
                <w:color w:val="000000"/>
                <w:sz w:val="20"/>
                <w:szCs w:val="20"/>
              </w:rPr>
            </w:pPr>
            <w:proofErr w:type="spellStart"/>
            <w:r w:rsidRPr="009226F8">
              <w:rPr>
                <w:i/>
                <w:iCs/>
                <w:color w:val="000000"/>
                <w:sz w:val="20"/>
                <w:szCs w:val="20"/>
              </w:rPr>
              <w:t>Population</w:t>
            </w:r>
            <w:proofErr w:type="spellEnd"/>
            <w:r w:rsidRPr="009226F8">
              <w:rPr>
                <w:i/>
                <w:iCs/>
                <w:color w:val="000000"/>
                <w:sz w:val="20"/>
                <w:szCs w:val="20"/>
              </w:rPr>
              <w:t xml:space="preserve"> </w:t>
            </w:r>
            <w:proofErr w:type="spellStart"/>
            <w:r w:rsidRPr="009226F8">
              <w:rPr>
                <w:i/>
                <w:iCs/>
                <w:color w:val="000000"/>
                <w:sz w:val="20"/>
                <w:szCs w:val="20"/>
              </w:rPr>
              <w:t>density</w:t>
            </w:r>
            <w:proofErr w:type="spellEnd"/>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b/>
                <w:iCs/>
                <w:color w:val="000000"/>
                <w:sz w:val="20"/>
                <w:szCs w:val="20"/>
              </w:rPr>
            </w:pPr>
            <w:r w:rsidRPr="009226F8">
              <w:rPr>
                <w:b/>
                <w:iCs/>
                <w:color w:val="000000"/>
                <w:sz w:val="20"/>
                <w:szCs w:val="20"/>
              </w:rPr>
              <w:t>YEAR</w:t>
            </w:r>
          </w:p>
        </w:tc>
        <w:tc>
          <w:tcPr>
            <w:tcW w:w="1168" w:type="dxa"/>
            <w:tcBorders>
              <w:top w:val="nil"/>
              <w:left w:val="nil"/>
              <w:bottom w:val="nil"/>
              <w:right w:val="nil"/>
            </w:tcBorders>
            <w:shd w:val="clear" w:color="auto" w:fill="auto"/>
            <w:hideMark/>
          </w:tcPr>
          <w:p w:rsidR="009226F8" w:rsidRPr="009226F8" w:rsidRDefault="009226F8" w:rsidP="0067794B">
            <w:pPr>
              <w:jc w:val="center"/>
              <w:rPr>
                <w:b/>
                <w:iCs/>
                <w:color w:val="000000"/>
                <w:sz w:val="20"/>
                <w:szCs w:val="20"/>
              </w:rPr>
            </w:pPr>
            <w:r w:rsidRPr="009226F8">
              <w:rPr>
                <w:b/>
                <w:iCs/>
                <w:color w:val="000000"/>
                <w:sz w:val="20"/>
                <w:szCs w:val="20"/>
              </w:rPr>
              <w:t>R</w:t>
            </w:r>
            <w:r w:rsidRPr="009226F8">
              <w:rPr>
                <w:b/>
                <w:iCs/>
                <w:color w:val="000000"/>
                <w:sz w:val="20"/>
                <w:szCs w:val="20"/>
                <w:vertAlign w:val="superscript"/>
              </w:rPr>
              <w:t>2</w:t>
            </w:r>
          </w:p>
        </w:tc>
        <w:tc>
          <w:tcPr>
            <w:tcW w:w="1192" w:type="dxa"/>
            <w:tcBorders>
              <w:top w:val="nil"/>
              <w:left w:val="nil"/>
              <w:bottom w:val="nil"/>
              <w:right w:val="nil"/>
            </w:tcBorders>
            <w:shd w:val="clear" w:color="auto" w:fill="auto"/>
            <w:hideMark/>
          </w:tcPr>
          <w:p w:rsidR="009226F8" w:rsidRPr="009226F8" w:rsidRDefault="009226F8" w:rsidP="0067794B">
            <w:pPr>
              <w:jc w:val="center"/>
              <w:rPr>
                <w:b/>
                <w:iCs/>
                <w:color w:val="000000"/>
                <w:sz w:val="20"/>
                <w:szCs w:val="20"/>
              </w:rPr>
            </w:pPr>
            <w:proofErr w:type="spellStart"/>
            <w:r w:rsidRPr="009226F8">
              <w:rPr>
                <w:b/>
                <w:iCs/>
                <w:color w:val="000000"/>
                <w:sz w:val="20"/>
                <w:szCs w:val="20"/>
              </w:rPr>
              <w:t>Intercept</w:t>
            </w:r>
            <w:proofErr w:type="spellEnd"/>
          </w:p>
        </w:tc>
        <w:tc>
          <w:tcPr>
            <w:tcW w:w="1162" w:type="dxa"/>
            <w:tcBorders>
              <w:top w:val="nil"/>
              <w:left w:val="nil"/>
              <w:bottom w:val="nil"/>
              <w:right w:val="nil"/>
            </w:tcBorders>
            <w:shd w:val="clear" w:color="auto" w:fill="auto"/>
            <w:hideMark/>
          </w:tcPr>
          <w:p w:rsidR="009226F8" w:rsidRPr="009226F8" w:rsidRDefault="009226F8" w:rsidP="0067794B">
            <w:pPr>
              <w:jc w:val="center"/>
              <w:rPr>
                <w:b/>
                <w:iCs/>
                <w:color w:val="000000"/>
                <w:sz w:val="20"/>
                <w:szCs w:val="20"/>
              </w:rPr>
            </w:pPr>
            <w:proofErr w:type="spellStart"/>
            <w:r w:rsidRPr="009226F8">
              <w:rPr>
                <w:b/>
                <w:iCs/>
                <w:color w:val="000000"/>
                <w:sz w:val="20"/>
                <w:szCs w:val="20"/>
              </w:rPr>
              <w:t>Std</w:t>
            </w:r>
            <w:proofErr w:type="spellEnd"/>
            <w:r w:rsidRPr="009226F8">
              <w:rPr>
                <w:b/>
                <w:iCs/>
                <w:color w:val="000000"/>
                <w:sz w:val="20"/>
                <w:szCs w:val="20"/>
              </w:rPr>
              <w:t xml:space="preserve"> </w:t>
            </w:r>
            <w:proofErr w:type="spellStart"/>
            <w:r w:rsidRPr="009226F8">
              <w:rPr>
                <w:b/>
                <w:iCs/>
                <w:color w:val="000000"/>
                <w:sz w:val="20"/>
                <w:szCs w:val="20"/>
              </w:rPr>
              <w:t>Dev</w:t>
            </w:r>
            <w:proofErr w:type="spellEnd"/>
          </w:p>
        </w:tc>
        <w:tc>
          <w:tcPr>
            <w:tcW w:w="1778" w:type="dxa"/>
            <w:tcBorders>
              <w:top w:val="nil"/>
              <w:left w:val="nil"/>
              <w:bottom w:val="nil"/>
              <w:right w:val="nil"/>
            </w:tcBorders>
            <w:shd w:val="clear" w:color="auto" w:fill="auto"/>
            <w:hideMark/>
          </w:tcPr>
          <w:p w:rsidR="009226F8" w:rsidRPr="009226F8" w:rsidRDefault="009226F8" w:rsidP="0067794B">
            <w:pPr>
              <w:jc w:val="center"/>
              <w:rPr>
                <w:b/>
                <w:iCs/>
                <w:color w:val="000000"/>
                <w:sz w:val="20"/>
                <w:szCs w:val="20"/>
              </w:rPr>
            </w:pPr>
            <w:r w:rsidRPr="009226F8">
              <w:rPr>
                <w:b/>
                <w:iCs/>
                <w:color w:val="000000"/>
                <w:sz w:val="20"/>
                <w:szCs w:val="20"/>
              </w:rPr>
              <w:t>log(POP/AREA)</w:t>
            </w:r>
          </w:p>
        </w:tc>
        <w:tc>
          <w:tcPr>
            <w:tcW w:w="1168" w:type="dxa"/>
            <w:tcBorders>
              <w:top w:val="nil"/>
              <w:left w:val="nil"/>
              <w:bottom w:val="nil"/>
              <w:right w:val="nil"/>
            </w:tcBorders>
            <w:shd w:val="clear" w:color="auto" w:fill="auto"/>
            <w:hideMark/>
          </w:tcPr>
          <w:p w:rsidR="009226F8" w:rsidRPr="009226F8" w:rsidRDefault="009226F8" w:rsidP="0067794B">
            <w:pPr>
              <w:jc w:val="center"/>
              <w:rPr>
                <w:b/>
                <w:iCs/>
                <w:color w:val="000000"/>
                <w:sz w:val="20"/>
                <w:szCs w:val="20"/>
              </w:rPr>
            </w:pPr>
            <w:proofErr w:type="spellStart"/>
            <w:r w:rsidRPr="009226F8">
              <w:rPr>
                <w:b/>
                <w:iCs/>
                <w:color w:val="000000"/>
                <w:sz w:val="20"/>
                <w:szCs w:val="20"/>
              </w:rPr>
              <w:t>Std</w:t>
            </w:r>
            <w:proofErr w:type="spellEnd"/>
            <w:r w:rsidRPr="009226F8">
              <w:rPr>
                <w:b/>
                <w:iCs/>
                <w:color w:val="000000"/>
                <w:sz w:val="20"/>
                <w:szCs w:val="20"/>
              </w:rPr>
              <w:t xml:space="preserve"> </w:t>
            </w:r>
            <w:proofErr w:type="spellStart"/>
            <w:r w:rsidRPr="009226F8">
              <w:rPr>
                <w:b/>
                <w:iCs/>
                <w:color w:val="000000"/>
                <w:sz w:val="20"/>
                <w:szCs w:val="20"/>
              </w:rPr>
              <w:t>Dev</w:t>
            </w:r>
            <w:proofErr w:type="spellEnd"/>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0.008</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2.867</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-0.022</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0.036</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0.026</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2.838</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0.039</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-0.043</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0.038</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0.022</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2.864</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0.037</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0.017</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2.862</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0.039</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0.038</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0.013</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2.852</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0.039</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0.038</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0.023</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2.851</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0.037</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0.013</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2.837</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0.037</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92</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0.031</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2.908</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0.041</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0.039</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93</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0.021</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2.950</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0.042</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0.040</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94</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0.016</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3.021</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0.042</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0.040</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0.008</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3.102</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0.045</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rPr>
                <w:i/>
                <w:iCs/>
                <w:color w:val="000000"/>
                <w:sz w:val="20"/>
                <w:szCs w:val="20"/>
              </w:rPr>
            </w:pPr>
            <w:proofErr w:type="spellStart"/>
            <w:r w:rsidRPr="009226F8">
              <w:rPr>
                <w:i/>
                <w:iCs/>
                <w:color w:val="000000"/>
                <w:sz w:val="20"/>
                <w:szCs w:val="20"/>
              </w:rPr>
              <w:t>Employment</w:t>
            </w:r>
            <w:proofErr w:type="spellEnd"/>
          </w:p>
        </w:tc>
        <w:tc>
          <w:tcPr>
            <w:tcW w:w="1168" w:type="dxa"/>
            <w:tcBorders>
              <w:top w:val="nil"/>
              <w:left w:val="nil"/>
              <w:bottom w:val="nil"/>
              <w:right w:val="nil"/>
            </w:tcBorders>
            <w:shd w:val="clear" w:color="auto" w:fill="auto"/>
            <w:hideMark/>
          </w:tcPr>
          <w:p w:rsidR="009226F8" w:rsidRPr="009226F8" w:rsidRDefault="009226F8" w:rsidP="0067794B">
            <w:pPr>
              <w:rPr>
                <w:i/>
                <w:iCs/>
                <w:color w:val="000000"/>
                <w:sz w:val="20"/>
                <w:szCs w:val="20"/>
              </w:rPr>
            </w:pPr>
          </w:p>
        </w:tc>
        <w:tc>
          <w:tcPr>
            <w:tcW w:w="1192" w:type="dxa"/>
            <w:tcBorders>
              <w:top w:val="nil"/>
              <w:left w:val="nil"/>
              <w:bottom w:val="nil"/>
              <w:right w:val="nil"/>
            </w:tcBorders>
            <w:shd w:val="clear" w:color="auto" w:fill="auto"/>
            <w:hideMark/>
          </w:tcPr>
          <w:p w:rsidR="009226F8" w:rsidRPr="009226F8" w:rsidRDefault="009226F8" w:rsidP="0067794B">
            <w:pPr>
              <w:rPr>
                <w:i/>
                <w:iCs/>
                <w:color w:val="000000"/>
                <w:sz w:val="20"/>
                <w:szCs w:val="20"/>
              </w:rPr>
            </w:pPr>
          </w:p>
        </w:tc>
        <w:tc>
          <w:tcPr>
            <w:tcW w:w="1162" w:type="dxa"/>
            <w:tcBorders>
              <w:top w:val="nil"/>
              <w:left w:val="nil"/>
              <w:bottom w:val="nil"/>
              <w:right w:val="nil"/>
            </w:tcBorders>
            <w:shd w:val="clear" w:color="auto" w:fill="auto"/>
            <w:hideMark/>
          </w:tcPr>
          <w:p w:rsidR="009226F8" w:rsidRPr="009226F8" w:rsidRDefault="009226F8" w:rsidP="0067794B">
            <w:pPr>
              <w:rPr>
                <w:i/>
                <w:iCs/>
                <w:color w:val="000000"/>
                <w:sz w:val="20"/>
                <w:szCs w:val="20"/>
              </w:rPr>
            </w:pPr>
          </w:p>
        </w:tc>
        <w:tc>
          <w:tcPr>
            <w:tcW w:w="1778" w:type="dxa"/>
            <w:tcBorders>
              <w:top w:val="nil"/>
              <w:left w:val="nil"/>
              <w:bottom w:val="nil"/>
              <w:right w:val="nil"/>
            </w:tcBorders>
            <w:shd w:val="clear" w:color="auto" w:fill="auto"/>
            <w:hideMark/>
          </w:tcPr>
          <w:p w:rsidR="009226F8" w:rsidRPr="009226F8" w:rsidRDefault="009226F8" w:rsidP="0067794B">
            <w:pPr>
              <w:rPr>
                <w:i/>
                <w:iCs/>
                <w:color w:val="000000"/>
                <w:sz w:val="20"/>
                <w:szCs w:val="20"/>
              </w:rPr>
            </w:pPr>
          </w:p>
        </w:tc>
        <w:tc>
          <w:tcPr>
            <w:tcW w:w="1168" w:type="dxa"/>
            <w:tcBorders>
              <w:top w:val="nil"/>
              <w:left w:val="nil"/>
              <w:bottom w:val="nil"/>
              <w:right w:val="nil"/>
            </w:tcBorders>
            <w:shd w:val="clear" w:color="auto" w:fill="auto"/>
            <w:hideMark/>
          </w:tcPr>
          <w:p w:rsidR="009226F8" w:rsidRPr="009226F8" w:rsidRDefault="009226F8" w:rsidP="0067794B">
            <w:pPr>
              <w:rPr>
                <w:i/>
                <w:iCs/>
                <w:color w:val="000000"/>
                <w:sz w:val="20"/>
                <w:szCs w:val="20"/>
              </w:rPr>
            </w:pP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b/>
                <w:iCs/>
                <w:color w:val="000000"/>
                <w:sz w:val="20"/>
                <w:szCs w:val="20"/>
              </w:rPr>
            </w:pPr>
            <w:r w:rsidRPr="009226F8">
              <w:rPr>
                <w:b/>
                <w:iCs/>
                <w:color w:val="000000"/>
                <w:sz w:val="20"/>
                <w:szCs w:val="20"/>
              </w:rPr>
              <w:t>YEAR</w:t>
            </w:r>
          </w:p>
        </w:tc>
        <w:tc>
          <w:tcPr>
            <w:tcW w:w="1168" w:type="dxa"/>
            <w:tcBorders>
              <w:top w:val="nil"/>
              <w:left w:val="nil"/>
              <w:bottom w:val="nil"/>
              <w:right w:val="nil"/>
            </w:tcBorders>
            <w:shd w:val="clear" w:color="auto" w:fill="auto"/>
            <w:hideMark/>
          </w:tcPr>
          <w:p w:rsidR="009226F8" w:rsidRPr="009226F8" w:rsidRDefault="009226F8" w:rsidP="0067794B">
            <w:pPr>
              <w:jc w:val="center"/>
              <w:rPr>
                <w:b/>
                <w:iCs/>
                <w:color w:val="000000"/>
                <w:sz w:val="20"/>
                <w:szCs w:val="20"/>
              </w:rPr>
            </w:pPr>
            <w:r w:rsidRPr="009226F8">
              <w:rPr>
                <w:b/>
                <w:iCs/>
                <w:color w:val="000000"/>
                <w:sz w:val="20"/>
                <w:szCs w:val="20"/>
              </w:rPr>
              <w:t>R</w:t>
            </w:r>
            <w:r w:rsidRPr="009226F8">
              <w:rPr>
                <w:b/>
                <w:iCs/>
                <w:color w:val="000000"/>
                <w:sz w:val="20"/>
                <w:szCs w:val="20"/>
                <w:vertAlign w:val="superscript"/>
              </w:rPr>
              <w:t>2</w:t>
            </w:r>
          </w:p>
        </w:tc>
        <w:tc>
          <w:tcPr>
            <w:tcW w:w="1192" w:type="dxa"/>
            <w:tcBorders>
              <w:top w:val="nil"/>
              <w:left w:val="nil"/>
              <w:bottom w:val="nil"/>
              <w:right w:val="nil"/>
            </w:tcBorders>
            <w:shd w:val="clear" w:color="auto" w:fill="auto"/>
            <w:hideMark/>
          </w:tcPr>
          <w:p w:rsidR="009226F8" w:rsidRPr="009226F8" w:rsidRDefault="009226F8" w:rsidP="0067794B">
            <w:pPr>
              <w:jc w:val="center"/>
              <w:rPr>
                <w:b/>
                <w:iCs/>
                <w:color w:val="000000"/>
                <w:sz w:val="20"/>
                <w:szCs w:val="20"/>
              </w:rPr>
            </w:pPr>
            <w:proofErr w:type="spellStart"/>
            <w:r w:rsidRPr="009226F8">
              <w:rPr>
                <w:b/>
                <w:iCs/>
                <w:color w:val="000000"/>
                <w:sz w:val="20"/>
                <w:szCs w:val="20"/>
              </w:rPr>
              <w:t>Intercept</w:t>
            </w:r>
            <w:proofErr w:type="spellEnd"/>
          </w:p>
        </w:tc>
        <w:tc>
          <w:tcPr>
            <w:tcW w:w="1162" w:type="dxa"/>
            <w:tcBorders>
              <w:top w:val="nil"/>
              <w:left w:val="nil"/>
              <w:bottom w:val="nil"/>
              <w:right w:val="nil"/>
            </w:tcBorders>
            <w:shd w:val="clear" w:color="auto" w:fill="auto"/>
            <w:hideMark/>
          </w:tcPr>
          <w:p w:rsidR="009226F8" w:rsidRPr="009226F8" w:rsidRDefault="009226F8" w:rsidP="0067794B">
            <w:pPr>
              <w:jc w:val="center"/>
              <w:rPr>
                <w:b/>
                <w:iCs/>
                <w:color w:val="000000"/>
                <w:sz w:val="20"/>
                <w:szCs w:val="20"/>
              </w:rPr>
            </w:pPr>
            <w:proofErr w:type="spellStart"/>
            <w:r w:rsidRPr="009226F8">
              <w:rPr>
                <w:b/>
                <w:iCs/>
                <w:color w:val="000000"/>
                <w:sz w:val="20"/>
                <w:szCs w:val="20"/>
              </w:rPr>
              <w:t>Std</w:t>
            </w:r>
            <w:proofErr w:type="spellEnd"/>
            <w:r w:rsidRPr="009226F8">
              <w:rPr>
                <w:b/>
                <w:iCs/>
                <w:color w:val="000000"/>
                <w:sz w:val="20"/>
                <w:szCs w:val="20"/>
              </w:rPr>
              <w:t xml:space="preserve"> </w:t>
            </w:r>
            <w:proofErr w:type="spellStart"/>
            <w:r w:rsidRPr="009226F8">
              <w:rPr>
                <w:b/>
                <w:iCs/>
                <w:color w:val="000000"/>
                <w:sz w:val="20"/>
                <w:szCs w:val="20"/>
              </w:rPr>
              <w:t>Dev</w:t>
            </w:r>
            <w:proofErr w:type="spellEnd"/>
          </w:p>
        </w:tc>
        <w:tc>
          <w:tcPr>
            <w:tcW w:w="1778" w:type="dxa"/>
            <w:tcBorders>
              <w:top w:val="nil"/>
              <w:left w:val="nil"/>
              <w:bottom w:val="nil"/>
              <w:right w:val="nil"/>
            </w:tcBorders>
            <w:shd w:val="clear" w:color="auto" w:fill="auto"/>
            <w:hideMark/>
          </w:tcPr>
          <w:p w:rsidR="009226F8" w:rsidRPr="009226F8" w:rsidRDefault="009226F8" w:rsidP="0067794B">
            <w:pPr>
              <w:jc w:val="center"/>
              <w:rPr>
                <w:b/>
                <w:iCs/>
                <w:color w:val="000000"/>
                <w:sz w:val="20"/>
                <w:szCs w:val="20"/>
              </w:rPr>
            </w:pPr>
            <w:r w:rsidRPr="009226F8">
              <w:rPr>
                <w:b/>
                <w:iCs/>
                <w:color w:val="000000"/>
                <w:sz w:val="20"/>
                <w:szCs w:val="20"/>
              </w:rPr>
              <w:t>log(EMP)</w:t>
            </w:r>
          </w:p>
        </w:tc>
        <w:tc>
          <w:tcPr>
            <w:tcW w:w="1168" w:type="dxa"/>
            <w:tcBorders>
              <w:top w:val="nil"/>
              <w:left w:val="nil"/>
              <w:bottom w:val="nil"/>
              <w:right w:val="nil"/>
            </w:tcBorders>
            <w:shd w:val="clear" w:color="auto" w:fill="auto"/>
            <w:hideMark/>
          </w:tcPr>
          <w:p w:rsidR="009226F8" w:rsidRPr="009226F8" w:rsidRDefault="009226F8" w:rsidP="0067794B">
            <w:pPr>
              <w:jc w:val="center"/>
              <w:rPr>
                <w:b/>
                <w:iCs/>
                <w:color w:val="000000"/>
                <w:sz w:val="20"/>
                <w:szCs w:val="20"/>
              </w:rPr>
            </w:pPr>
            <w:proofErr w:type="spellStart"/>
            <w:r w:rsidRPr="009226F8">
              <w:rPr>
                <w:b/>
                <w:iCs/>
                <w:color w:val="000000"/>
                <w:sz w:val="20"/>
                <w:szCs w:val="20"/>
              </w:rPr>
              <w:t>Std</w:t>
            </w:r>
            <w:proofErr w:type="spellEnd"/>
            <w:r w:rsidRPr="009226F8">
              <w:rPr>
                <w:b/>
                <w:iCs/>
                <w:color w:val="000000"/>
                <w:sz w:val="20"/>
                <w:szCs w:val="20"/>
              </w:rPr>
              <w:t xml:space="preserve"> </w:t>
            </w:r>
            <w:proofErr w:type="spellStart"/>
            <w:r w:rsidRPr="009226F8">
              <w:rPr>
                <w:b/>
                <w:iCs/>
                <w:color w:val="000000"/>
                <w:sz w:val="20"/>
                <w:szCs w:val="20"/>
              </w:rPr>
              <w:t>Dev</w:t>
            </w:r>
            <w:proofErr w:type="spellEnd"/>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0.013</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2.867</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0.047</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0.025</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2.838</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0.039</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-0.055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0.050</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0.026</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2.864</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-0.054</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0.048</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0.022</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2.862</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0.039</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-0.051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0.049</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0.017</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2.852</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0.039</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0.049</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0.027</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2.851</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-0.055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0.048</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0.019</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2.837</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0.047</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92</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0.044</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2.908</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0.040</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-0.075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0.050</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93</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0.015</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2.950</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0.042</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0.052</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94</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0.010</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3.021</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0.042</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0.052</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0.004</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3.102</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0.058</w:t>
            </w:r>
          </w:p>
        </w:tc>
      </w:tr>
      <w:tr w:rsidR="009226F8" w:rsidRPr="009226F8" w:rsidTr="0067794B">
        <w:trPr>
          <w:trHeight w:val="259"/>
        </w:trPr>
        <w:tc>
          <w:tcPr>
            <w:tcW w:w="7940" w:type="dxa"/>
            <w:gridSpan w:val="6"/>
            <w:tcBorders>
              <w:top w:val="nil"/>
              <w:left w:val="nil"/>
              <w:bottom w:val="nil"/>
              <w:right w:val="nil"/>
            </w:tcBorders>
            <w:shd w:val="clear" w:color="auto" w:fill="auto"/>
            <w:hideMark/>
          </w:tcPr>
          <w:p w:rsidR="009226F8" w:rsidRPr="009226F8" w:rsidRDefault="009226F8" w:rsidP="0067794B">
            <w:pPr>
              <w:rPr>
                <w:i/>
                <w:iCs/>
                <w:color w:val="000000"/>
                <w:sz w:val="20"/>
                <w:szCs w:val="20"/>
              </w:rPr>
            </w:pPr>
            <w:proofErr w:type="spellStart"/>
            <w:r w:rsidRPr="009226F8">
              <w:rPr>
                <w:i/>
                <w:iCs/>
                <w:color w:val="000000"/>
                <w:sz w:val="20"/>
                <w:szCs w:val="20"/>
              </w:rPr>
              <w:t>Employment</w:t>
            </w:r>
            <w:proofErr w:type="spellEnd"/>
            <w:r w:rsidRPr="009226F8">
              <w:rPr>
                <w:i/>
                <w:iCs/>
                <w:color w:val="000000"/>
                <w:sz w:val="20"/>
                <w:szCs w:val="20"/>
              </w:rPr>
              <w:t xml:space="preserve"> </w:t>
            </w:r>
            <w:proofErr w:type="spellStart"/>
            <w:r w:rsidRPr="009226F8">
              <w:rPr>
                <w:i/>
                <w:iCs/>
                <w:color w:val="000000"/>
                <w:sz w:val="20"/>
                <w:szCs w:val="20"/>
              </w:rPr>
              <w:t>density</w:t>
            </w:r>
            <w:proofErr w:type="spellEnd"/>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b/>
                <w:iCs/>
                <w:color w:val="000000"/>
                <w:sz w:val="20"/>
                <w:szCs w:val="20"/>
              </w:rPr>
            </w:pPr>
            <w:r w:rsidRPr="009226F8">
              <w:rPr>
                <w:b/>
                <w:iCs/>
                <w:color w:val="000000"/>
                <w:sz w:val="20"/>
                <w:szCs w:val="20"/>
              </w:rPr>
              <w:t>YEAR</w:t>
            </w:r>
          </w:p>
        </w:tc>
        <w:tc>
          <w:tcPr>
            <w:tcW w:w="1168" w:type="dxa"/>
            <w:tcBorders>
              <w:top w:val="nil"/>
              <w:left w:val="nil"/>
              <w:bottom w:val="nil"/>
              <w:right w:val="nil"/>
            </w:tcBorders>
            <w:shd w:val="clear" w:color="auto" w:fill="auto"/>
            <w:hideMark/>
          </w:tcPr>
          <w:p w:rsidR="009226F8" w:rsidRPr="009226F8" w:rsidRDefault="009226F8" w:rsidP="0067794B">
            <w:pPr>
              <w:jc w:val="center"/>
              <w:rPr>
                <w:b/>
                <w:iCs/>
                <w:color w:val="000000"/>
                <w:sz w:val="20"/>
                <w:szCs w:val="20"/>
              </w:rPr>
            </w:pPr>
            <w:r w:rsidRPr="009226F8">
              <w:rPr>
                <w:b/>
                <w:iCs/>
                <w:color w:val="000000"/>
                <w:sz w:val="20"/>
                <w:szCs w:val="20"/>
              </w:rPr>
              <w:t>R</w:t>
            </w:r>
            <w:r w:rsidRPr="009226F8">
              <w:rPr>
                <w:b/>
                <w:iCs/>
                <w:color w:val="000000"/>
                <w:sz w:val="20"/>
                <w:szCs w:val="20"/>
                <w:vertAlign w:val="superscript"/>
              </w:rPr>
              <w:t>2</w:t>
            </w:r>
          </w:p>
        </w:tc>
        <w:tc>
          <w:tcPr>
            <w:tcW w:w="1192" w:type="dxa"/>
            <w:tcBorders>
              <w:top w:val="nil"/>
              <w:left w:val="nil"/>
              <w:bottom w:val="nil"/>
              <w:right w:val="nil"/>
            </w:tcBorders>
            <w:shd w:val="clear" w:color="auto" w:fill="auto"/>
            <w:hideMark/>
          </w:tcPr>
          <w:p w:rsidR="009226F8" w:rsidRPr="009226F8" w:rsidRDefault="009226F8" w:rsidP="0067794B">
            <w:pPr>
              <w:jc w:val="center"/>
              <w:rPr>
                <w:b/>
                <w:iCs/>
                <w:color w:val="000000"/>
                <w:sz w:val="20"/>
                <w:szCs w:val="20"/>
              </w:rPr>
            </w:pPr>
            <w:proofErr w:type="spellStart"/>
            <w:r w:rsidRPr="009226F8">
              <w:rPr>
                <w:b/>
                <w:iCs/>
                <w:color w:val="000000"/>
                <w:sz w:val="20"/>
                <w:szCs w:val="20"/>
              </w:rPr>
              <w:t>Intercept</w:t>
            </w:r>
            <w:proofErr w:type="spellEnd"/>
          </w:p>
        </w:tc>
        <w:tc>
          <w:tcPr>
            <w:tcW w:w="1162" w:type="dxa"/>
            <w:tcBorders>
              <w:top w:val="nil"/>
              <w:left w:val="nil"/>
              <w:bottom w:val="nil"/>
              <w:right w:val="nil"/>
            </w:tcBorders>
            <w:shd w:val="clear" w:color="auto" w:fill="auto"/>
            <w:hideMark/>
          </w:tcPr>
          <w:p w:rsidR="009226F8" w:rsidRPr="009226F8" w:rsidRDefault="009226F8" w:rsidP="0067794B">
            <w:pPr>
              <w:jc w:val="center"/>
              <w:rPr>
                <w:b/>
                <w:iCs/>
                <w:color w:val="000000"/>
                <w:sz w:val="20"/>
                <w:szCs w:val="20"/>
              </w:rPr>
            </w:pPr>
            <w:proofErr w:type="spellStart"/>
            <w:r w:rsidRPr="009226F8">
              <w:rPr>
                <w:b/>
                <w:iCs/>
                <w:color w:val="000000"/>
                <w:sz w:val="20"/>
                <w:szCs w:val="20"/>
              </w:rPr>
              <w:t>Std</w:t>
            </w:r>
            <w:proofErr w:type="spellEnd"/>
            <w:r w:rsidRPr="009226F8">
              <w:rPr>
                <w:b/>
                <w:iCs/>
                <w:color w:val="000000"/>
                <w:sz w:val="20"/>
                <w:szCs w:val="20"/>
              </w:rPr>
              <w:t xml:space="preserve"> </w:t>
            </w:r>
            <w:proofErr w:type="spellStart"/>
            <w:r w:rsidRPr="009226F8">
              <w:rPr>
                <w:b/>
                <w:iCs/>
                <w:color w:val="000000"/>
                <w:sz w:val="20"/>
                <w:szCs w:val="20"/>
              </w:rPr>
              <w:t>Dev</w:t>
            </w:r>
            <w:proofErr w:type="spellEnd"/>
          </w:p>
        </w:tc>
        <w:tc>
          <w:tcPr>
            <w:tcW w:w="1778" w:type="dxa"/>
            <w:tcBorders>
              <w:top w:val="nil"/>
              <w:left w:val="nil"/>
              <w:bottom w:val="nil"/>
              <w:right w:val="nil"/>
            </w:tcBorders>
            <w:shd w:val="clear" w:color="auto" w:fill="auto"/>
            <w:hideMark/>
          </w:tcPr>
          <w:p w:rsidR="009226F8" w:rsidRPr="009226F8" w:rsidRDefault="009226F8" w:rsidP="0067794B">
            <w:pPr>
              <w:jc w:val="center"/>
              <w:rPr>
                <w:b/>
                <w:iCs/>
                <w:color w:val="000000"/>
                <w:sz w:val="20"/>
                <w:szCs w:val="20"/>
              </w:rPr>
            </w:pPr>
            <w:r w:rsidRPr="009226F8">
              <w:rPr>
                <w:b/>
                <w:iCs/>
                <w:color w:val="000000"/>
                <w:sz w:val="20"/>
                <w:szCs w:val="20"/>
              </w:rPr>
              <w:t>log(EMP/AREA)</w:t>
            </w:r>
          </w:p>
        </w:tc>
        <w:tc>
          <w:tcPr>
            <w:tcW w:w="1168" w:type="dxa"/>
            <w:tcBorders>
              <w:top w:val="nil"/>
              <w:left w:val="nil"/>
              <w:bottom w:val="nil"/>
              <w:right w:val="nil"/>
            </w:tcBorders>
            <w:shd w:val="clear" w:color="auto" w:fill="auto"/>
            <w:hideMark/>
          </w:tcPr>
          <w:p w:rsidR="009226F8" w:rsidRPr="009226F8" w:rsidRDefault="009226F8" w:rsidP="0067794B">
            <w:pPr>
              <w:jc w:val="center"/>
              <w:rPr>
                <w:b/>
                <w:iCs/>
                <w:color w:val="000000"/>
                <w:sz w:val="20"/>
                <w:szCs w:val="20"/>
              </w:rPr>
            </w:pPr>
            <w:proofErr w:type="spellStart"/>
            <w:r w:rsidRPr="009226F8">
              <w:rPr>
                <w:b/>
                <w:iCs/>
                <w:color w:val="000000"/>
                <w:sz w:val="20"/>
                <w:szCs w:val="20"/>
              </w:rPr>
              <w:t>Std</w:t>
            </w:r>
            <w:proofErr w:type="spellEnd"/>
            <w:r w:rsidRPr="009226F8">
              <w:rPr>
                <w:b/>
                <w:iCs/>
                <w:color w:val="000000"/>
                <w:sz w:val="20"/>
                <w:szCs w:val="20"/>
              </w:rPr>
              <w:t xml:space="preserve"> </w:t>
            </w:r>
            <w:proofErr w:type="spellStart"/>
            <w:r w:rsidRPr="009226F8">
              <w:rPr>
                <w:b/>
                <w:iCs/>
                <w:color w:val="000000"/>
                <w:sz w:val="20"/>
                <w:szCs w:val="20"/>
              </w:rPr>
              <w:t>Dev</w:t>
            </w:r>
            <w:proofErr w:type="spellEnd"/>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0.016</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2.867</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0.036</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0.036</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2.838</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0.039</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-0.050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0.037</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0.034</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2.864</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0.036</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0.027</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2.862</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0.039</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-0.043</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0.037</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0.022</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2.852</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0.039</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0.037</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0.034</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2.851</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0.036</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0.021</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2.837</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0.036</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92</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0.041</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2.908</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0.041</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-0.055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0.038</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93</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0.030</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2.950</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0.042</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0.040</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94</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0.027</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3.021</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0.042</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0.040</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0.018</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3.102</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0.046</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0.044</w:t>
            </w:r>
          </w:p>
        </w:tc>
      </w:tr>
    </w:tbl>
    <w:p w:rsidR="009226F8" w:rsidRPr="009226F8" w:rsidRDefault="009226F8" w:rsidP="009226F8">
      <w:pPr>
        <w:pStyle w:val="ICABRPictures-Tables"/>
        <w:rPr>
          <w:rFonts w:ascii="Times New Roman" w:hAnsi="Times New Roman"/>
          <w:sz w:val="20"/>
          <w:szCs w:val="20"/>
        </w:rPr>
      </w:pPr>
      <w:r w:rsidRPr="009226F8">
        <w:rPr>
          <w:rFonts w:ascii="Times New Roman" w:hAnsi="Times New Roman"/>
          <w:sz w:val="20"/>
          <w:szCs w:val="20"/>
        </w:rPr>
        <w:lastRenderedPageBreak/>
        <w:t xml:space="preserve"> Table A3 </w:t>
      </w:r>
      <w:proofErr w:type="spellStart"/>
      <w:r w:rsidRPr="009226F8">
        <w:rPr>
          <w:rFonts w:ascii="Times New Roman" w:hAnsi="Times New Roman"/>
          <w:sz w:val="20"/>
          <w:szCs w:val="20"/>
        </w:rPr>
        <w:t>Domar</w:t>
      </w:r>
      <w:proofErr w:type="spellEnd"/>
      <w:r w:rsidRPr="009226F8">
        <w:rPr>
          <w:rFonts w:ascii="Times New Roman" w:hAnsi="Times New Roman"/>
          <w:sz w:val="20"/>
          <w:szCs w:val="20"/>
        </w:rPr>
        <w:t xml:space="preserve"> factor regressions on province size. Construction</w:t>
      </w:r>
    </w:p>
    <w:tbl>
      <w:tblPr>
        <w:tblW w:w="7940" w:type="dxa"/>
        <w:tblInd w:w="70" w:type="dxa"/>
        <w:tblCellMar>
          <w:left w:w="70" w:type="dxa"/>
          <w:right w:w="70" w:type="dxa"/>
        </w:tblCellMar>
        <w:tblLook w:val="04A0"/>
      </w:tblPr>
      <w:tblGrid>
        <w:gridCol w:w="1472"/>
        <w:gridCol w:w="1168"/>
        <w:gridCol w:w="1192"/>
        <w:gridCol w:w="1162"/>
        <w:gridCol w:w="1778"/>
        <w:gridCol w:w="1168"/>
      </w:tblGrid>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rPr>
                <w:i/>
                <w:iCs/>
                <w:color w:val="000000"/>
                <w:sz w:val="20"/>
                <w:szCs w:val="20"/>
              </w:rPr>
            </w:pPr>
            <w:proofErr w:type="spellStart"/>
            <w:r w:rsidRPr="009226F8">
              <w:rPr>
                <w:i/>
                <w:iCs/>
                <w:color w:val="000000"/>
                <w:sz w:val="20"/>
                <w:szCs w:val="20"/>
              </w:rPr>
              <w:t>Population</w:t>
            </w:r>
            <w:proofErr w:type="spellEnd"/>
          </w:p>
        </w:tc>
        <w:tc>
          <w:tcPr>
            <w:tcW w:w="1168" w:type="dxa"/>
            <w:tcBorders>
              <w:top w:val="nil"/>
              <w:left w:val="nil"/>
              <w:bottom w:val="nil"/>
              <w:right w:val="nil"/>
            </w:tcBorders>
            <w:shd w:val="clear" w:color="auto" w:fill="auto"/>
            <w:hideMark/>
          </w:tcPr>
          <w:p w:rsidR="009226F8" w:rsidRPr="009226F8" w:rsidRDefault="009226F8" w:rsidP="0067794B">
            <w:pPr>
              <w:rPr>
                <w:color w:val="000000"/>
                <w:sz w:val="20"/>
                <w:szCs w:val="20"/>
              </w:rPr>
            </w:pPr>
          </w:p>
        </w:tc>
        <w:tc>
          <w:tcPr>
            <w:tcW w:w="1192" w:type="dxa"/>
            <w:tcBorders>
              <w:top w:val="nil"/>
              <w:left w:val="nil"/>
              <w:bottom w:val="nil"/>
              <w:right w:val="nil"/>
            </w:tcBorders>
            <w:shd w:val="clear" w:color="auto" w:fill="auto"/>
            <w:hideMark/>
          </w:tcPr>
          <w:p w:rsidR="009226F8" w:rsidRPr="009226F8" w:rsidRDefault="009226F8" w:rsidP="0067794B">
            <w:pPr>
              <w:rPr>
                <w:color w:val="000000"/>
                <w:sz w:val="20"/>
                <w:szCs w:val="20"/>
              </w:rPr>
            </w:pPr>
          </w:p>
        </w:tc>
        <w:tc>
          <w:tcPr>
            <w:tcW w:w="1162" w:type="dxa"/>
            <w:tcBorders>
              <w:top w:val="nil"/>
              <w:left w:val="nil"/>
              <w:bottom w:val="nil"/>
              <w:right w:val="nil"/>
            </w:tcBorders>
            <w:shd w:val="clear" w:color="auto" w:fill="auto"/>
            <w:hideMark/>
          </w:tcPr>
          <w:p w:rsidR="009226F8" w:rsidRPr="009226F8" w:rsidRDefault="009226F8" w:rsidP="0067794B">
            <w:pPr>
              <w:rPr>
                <w:color w:val="000000"/>
                <w:sz w:val="20"/>
                <w:szCs w:val="20"/>
              </w:rPr>
            </w:pPr>
          </w:p>
        </w:tc>
        <w:tc>
          <w:tcPr>
            <w:tcW w:w="1778" w:type="dxa"/>
            <w:tcBorders>
              <w:top w:val="nil"/>
              <w:left w:val="nil"/>
              <w:bottom w:val="nil"/>
              <w:right w:val="nil"/>
            </w:tcBorders>
            <w:shd w:val="clear" w:color="auto" w:fill="auto"/>
            <w:hideMark/>
          </w:tcPr>
          <w:p w:rsidR="009226F8" w:rsidRPr="009226F8" w:rsidRDefault="009226F8" w:rsidP="0067794B">
            <w:pPr>
              <w:rPr>
                <w:color w:val="000000"/>
                <w:sz w:val="20"/>
                <w:szCs w:val="20"/>
              </w:rPr>
            </w:pPr>
          </w:p>
        </w:tc>
        <w:tc>
          <w:tcPr>
            <w:tcW w:w="1168" w:type="dxa"/>
            <w:tcBorders>
              <w:top w:val="nil"/>
              <w:left w:val="nil"/>
              <w:bottom w:val="nil"/>
              <w:right w:val="nil"/>
            </w:tcBorders>
            <w:shd w:val="clear" w:color="auto" w:fill="auto"/>
            <w:hideMark/>
          </w:tcPr>
          <w:p w:rsidR="009226F8" w:rsidRPr="009226F8" w:rsidRDefault="009226F8" w:rsidP="0067794B">
            <w:pPr>
              <w:rPr>
                <w:color w:val="000000"/>
                <w:sz w:val="20"/>
                <w:szCs w:val="20"/>
              </w:rPr>
            </w:pP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YEAR</w:t>
            </w:r>
          </w:p>
        </w:tc>
        <w:tc>
          <w:tcPr>
            <w:tcW w:w="116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R</w:t>
            </w:r>
            <w:r w:rsidRPr="009226F8">
              <w:rPr>
                <w:b/>
                <w:bCs/>
                <w:color w:val="000000"/>
                <w:sz w:val="20"/>
                <w:szCs w:val="20"/>
                <w:vertAlign w:val="superscript"/>
              </w:rPr>
              <w:t>2</w:t>
            </w:r>
          </w:p>
        </w:tc>
        <w:tc>
          <w:tcPr>
            <w:tcW w:w="119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Intercept</w:t>
            </w:r>
            <w:proofErr w:type="spellEnd"/>
          </w:p>
        </w:tc>
        <w:tc>
          <w:tcPr>
            <w:tcW w:w="116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Std</w:t>
            </w:r>
            <w:proofErr w:type="spellEnd"/>
            <w:r w:rsidRPr="009226F8">
              <w:rPr>
                <w:b/>
                <w:bCs/>
                <w:color w:val="000000"/>
                <w:sz w:val="20"/>
                <w:szCs w:val="20"/>
              </w:rPr>
              <w:t xml:space="preserve"> </w:t>
            </w:r>
            <w:proofErr w:type="spellStart"/>
            <w:r w:rsidRPr="009226F8">
              <w:rPr>
                <w:b/>
                <w:bCs/>
                <w:color w:val="000000"/>
                <w:sz w:val="20"/>
                <w:szCs w:val="20"/>
              </w:rPr>
              <w:t>Dev</w:t>
            </w:r>
            <w:proofErr w:type="spellEnd"/>
          </w:p>
        </w:tc>
        <w:tc>
          <w:tcPr>
            <w:tcW w:w="177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log(POP)</w:t>
            </w:r>
          </w:p>
        </w:tc>
        <w:tc>
          <w:tcPr>
            <w:tcW w:w="116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Std</w:t>
            </w:r>
            <w:proofErr w:type="spellEnd"/>
            <w:r w:rsidRPr="009226F8">
              <w:rPr>
                <w:b/>
                <w:bCs/>
                <w:color w:val="000000"/>
                <w:sz w:val="20"/>
                <w:szCs w:val="20"/>
              </w:rPr>
              <w:t xml:space="preserve"> </w:t>
            </w:r>
            <w:proofErr w:type="spellStart"/>
            <w:r w:rsidRPr="009226F8">
              <w:rPr>
                <w:b/>
                <w:bCs/>
                <w:color w:val="000000"/>
                <w:sz w:val="20"/>
                <w:szCs w:val="20"/>
              </w:rPr>
              <w:t>Dev</w:t>
            </w:r>
            <w:proofErr w:type="spellEnd"/>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0.178</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2.053</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0.009</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0.012</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0.244</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2.033</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0.009</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0.220</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2.013</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0.010</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0.295</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2.004</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0.009</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0.273</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1.993</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0.009</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0.193</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1.972</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0.010</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0.012</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0.398</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1.934</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-0.050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0.009</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92</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0.410</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1.909</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-0.051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0.009</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93</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0.404</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1.885</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-0.051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0.009</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94</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0.109</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1.889</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-0.023</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0.010</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0.043</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1.887</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0.007</w:t>
            </w:r>
          </w:p>
        </w:tc>
      </w:tr>
      <w:tr w:rsidR="009226F8" w:rsidRPr="009226F8" w:rsidTr="0067794B">
        <w:trPr>
          <w:trHeight w:val="259"/>
        </w:trPr>
        <w:tc>
          <w:tcPr>
            <w:tcW w:w="7940" w:type="dxa"/>
            <w:gridSpan w:val="6"/>
            <w:tcBorders>
              <w:top w:val="nil"/>
              <w:left w:val="nil"/>
              <w:bottom w:val="nil"/>
              <w:right w:val="nil"/>
            </w:tcBorders>
            <w:shd w:val="clear" w:color="auto" w:fill="auto"/>
            <w:hideMark/>
          </w:tcPr>
          <w:p w:rsidR="009226F8" w:rsidRPr="009226F8" w:rsidRDefault="009226F8" w:rsidP="0067794B">
            <w:pPr>
              <w:rPr>
                <w:i/>
                <w:iCs/>
                <w:color w:val="000000"/>
                <w:sz w:val="20"/>
                <w:szCs w:val="20"/>
              </w:rPr>
            </w:pPr>
            <w:proofErr w:type="spellStart"/>
            <w:r w:rsidRPr="009226F8">
              <w:rPr>
                <w:i/>
                <w:iCs/>
                <w:color w:val="000000"/>
                <w:sz w:val="20"/>
                <w:szCs w:val="20"/>
              </w:rPr>
              <w:t>Population</w:t>
            </w:r>
            <w:proofErr w:type="spellEnd"/>
            <w:r w:rsidRPr="009226F8">
              <w:rPr>
                <w:i/>
                <w:iCs/>
                <w:color w:val="000000"/>
                <w:sz w:val="20"/>
                <w:szCs w:val="20"/>
              </w:rPr>
              <w:t xml:space="preserve"> </w:t>
            </w:r>
            <w:proofErr w:type="spellStart"/>
            <w:r w:rsidRPr="009226F8">
              <w:rPr>
                <w:i/>
                <w:iCs/>
                <w:color w:val="000000"/>
                <w:sz w:val="20"/>
                <w:szCs w:val="20"/>
              </w:rPr>
              <w:t>density</w:t>
            </w:r>
            <w:proofErr w:type="spellEnd"/>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YEAR</w:t>
            </w:r>
          </w:p>
        </w:tc>
        <w:tc>
          <w:tcPr>
            <w:tcW w:w="116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R</w:t>
            </w:r>
            <w:r w:rsidRPr="009226F8">
              <w:rPr>
                <w:b/>
                <w:bCs/>
                <w:color w:val="000000"/>
                <w:sz w:val="20"/>
                <w:szCs w:val="20"/>
                <w:vertAlign w:val="superscript"/>
              </w:rPr>
              <w:t>2</w:t>
            </w:r>
          </w:p>
        </w:tc>
        <w:tc>
          <w:tcPr>
            <w:tcW w:w="119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Intercept</w:t>
            </w:r>
            <w:proofErr w:type="spellEnd"/>
          </w:p>
        </w:tc>
        <w:tc>
          <w:tcPr>
            <w:tcW w:w="116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Std</w:t>
            </w:r>
            <w:proofErr w:type="spellEnd"/>
            <w:r w:rsidRPr="009226F8">
              <w:rPr>
                <w:b/>
                <w:bCs/>
                <w:color w:val="000000"/>
                <w:sz w:val="20"/>
                <w:szCs w:val="20"/>
              </w:rPr>
              <w:t xml:space="preserve"> </w:t>
            </w:r>
            <w:proofErr w:type="spellStart"/>
            <w:r w:rsidRPr="009226F8">
              <w:rPr>
                <w:b/>
                <w:bCs/>
                <w:color w:val="000000"/>
                <w:sz w:val="20"/>
                <w:szCs w:val="20"/>
              </w:rPr>
              <w:t>Dev</w:t>
            </w:r>
            <w:proofErr w:type="spellEnd"/>
          </w:p>
        </w:tc>
        <w:tc>
          <w:tcPr>
            <w:tcW w:w="177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log(POP/SUP)</w:t>
            </w:r>
          </w:p>
        </w:tc>
        <w:tc>
          <w:tcPr>
            <w:tcW w:w="116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Std</w:t>
            </w:r>
            <w:proofErr w:type="spellEnd"/>
            <w:r w:rsidRPr="009226F8">
              <w:rPr>
                <w:b/>
                <w:bCs/>
                <w:color w:val="000000"/>
                <w:sz w:val="20"/>
                <w:szCs w:val="20"/>
              </w:rPr>
              <w:t xml:space="preserve"> </w:t>
            </w:r>
            <w:proofErr w:type="spellStart"/>
            <w:r w:rsidRPr="009226F8">
              <w:rPr>
                <w:b/>
                <w:bCs/>
                <w:color w:val="000000"/>
                <w:sz w:val="20"/>
                <w:szCs w:val="20"/>
              </w:rPr>
              <w:t>Dev</w:t>
            </w:r>
            <w:proofErr w:type="spellEnd"/>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0.293</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2.053</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0.009</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0.008</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0.375</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2.033</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0.007</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0.313</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2.013</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0.007</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0.439</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2.004</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0.452</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1.993</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0.275</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1.972</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0.009</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0.009</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0.525</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1.934</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92</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0.530</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1.909</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93</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0.514</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1.885</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94</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0.125</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1.889</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0.007</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0.087</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1.887</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rPr>
                <w:i/>
                <w:iCs/>
                <w:color w:val="000000"/>
                <w:sz w:val="20"/>
                <w:szCs w:val="20"/>
              </w:rPr>
            </w:pPr>
            <w:proofErr w:type="spellStart"/>
            <w:r w:rsidRPr="009226F8">
              <w:rPr>
                <w:i/>
                <w:iCs/>
                <w:color w:val="000000"/>
                <w:sz w:val="20"/>
                <w:szCs w:val="20"/>
              </w:rPr>
              <w:t>Employment</w:t>
            </w:r>
            <w:proofErr w:type="spellEnd"/>
          </w:p>
        </w:tc>
        <w:tc>
          <w:tcPr>
            <w:tcW w:w="1168" w:type="dxa"/>
            <w:tcBorders>
              <w:top w:val="nil"/>
              <w:left w:val="nil"/>
              <w:bottom w:val="nil"/>
              <w:right w:val="nil"/>
            </w:tcBorders>
            <w:shd w:val="clear" w:color="auto" w:fill="auto"/>
            <w:hideMark/>
          </w:tcPr>
          <w:p w:rsidR="009226F8" w:rsidRPr="009226F8" w:rsidRDefault="009226F8" w:rsidP="0067794B">
            <w:pPr>
              <w:rPr>
                <w:i/>
                <w:iCs/>
                <w:color w:val="000000"/>
                <w:sz w:val="20"/>
                <w:szCs w:val="20"/>
              </w:rPr>
            </w:pPr>
          </w:p>
        </w:tc>
        <w:tc>
          <w:tcPr>
            <w:tcW w:w="1192" w:type="dxa"/>
            <w:tcBorders>
              <w:top w:val="nil"/>
              <w:left w:val="nil"/>
              <w:bottom w:val="nil"/>
              <w:right w:val="nil"/>
            </w:tcBorders>
            <w:shd w:val="clear" w:color="auto" w:fill="auto"/>
            <w:hideMark/>
          </w:tcPr>
          <w:p w:rsidR="009226F8" w:rsidRPr="009226F8" w:rsidRDefault="009226F8" w:rsidP="0067794B">
            <w:pPr>
              <w:rPr>
                <w:i/>
                <w:iCs/>
                <w:color w:val="000000"/>
                <w:sz w:val="20"/>
                <w:szCs w:val="20"/>
              </w:rPr>
            </w:pPr>
          </w:p>
        </w:tc>
        <w:tc>
          <w:tcPr>
            <w:tcW w:w="1162" w:type="dxa"/>
            <w:tcBorders>
              <w:top w:val="nil"/>
              <w:left w:val="nil"/>
              <w:bottom w:val="nil"/>
              <w:right w:val="nil"/>
            </w:tcBorders>
            <w:shd w:val="clear" w:color="auto" w:fill="auto"/>
            <w:hideMark/>
          </w:tcPr>
          <w:p w:rsidR="009226F8" w:rsidRPr="009226F8" w:rsidRDefault="009226F8" w:rsidP="0067794B">
            <w:pPr>
              <w:rPr>
                <w:i/>
                <w:iCs/>
                <w:color w:val="000000"/>
                <w:sz w:val="20"/>
                <w:szCs w:val="20"/>
              </w:rPr>
            </w:pPr>
          </w:p>
        </w:tc>
        <w:tc>
          <w:tcPr>
            <w:tcW w:w="1778" w:type="dxa"/>
            <w:tcBorders>
              <w:top w:val="nil"/>
              <w:left w:val="nil"/>
              <w:bottom w:val="nil"/>
              <w:right w:val="nil"/>
            </w:tcBorders>
            <w:shd w:val="clear" w:color="auto" w:fill="auto"/>
            <w:hideMark/>
          </w:tcPr>
          <w:p w:rsidR="009226F8" w:rsidRPr="009226F8" w:rsidRDefault="009226F8" w:rsidP="0067794B">
            <w:pPr>
              <w:rPr>
                <w:i/>
                <w:iCs/>
                <w:color w:val="000000"/>
                <w:sz w:val="20"/>
                <w:szCs w:val="20"/>
              </w:rPr>
            </w:pPr>
          </w:p>
        </w:tc>
        <w:tc>
          <w:tcPr>
            <w:tcW w:w="1168" w:type="dxa"/>
            <w:tcBorders>
              <w:top w:val="nil"/>
              <w:left w:val="nil"/>
              <w:bottom w:val="nil"/>
              <w:right w:val="nil"/>
            </w:tcBorders>
            <w:shd w:val="clear" w:color="auto" w:fill="auto"/>
            <w:hideMark/>
          </w:tcPr>
          <w:p w:rsidR="009226F8" w:rsidRPr="009226F8" w:rsidRDefault="009226F8" w:rsidP="0067794B">
            <w:pPr>
              <w:rPr>
                <w:i/>
                <w:iCs/>
                <w:color w:val="000000"/>
                <w:sz w:val="20"/>
                <w:szCs w:val="20"/>
              </w:rPr>
            </w:pP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YEAR</w:t>
            </w:r>
          </w:p>
        </w:tc>
        <w:tc>
          <w:tcPr>
            <w:tcW w:w="116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R</w:t>
            </w:r>
            <w:r w:rsidRPr="009226F8">
              <w:rPr>
                <w:b/>
                <w:bCs/>
                <w:color w:val="000000"/>
                <w:sz w:val="20"/>
                <w:szCs w:val="20"/>
                <w:vertAlign w:val="superscript"/>
              </w:rPr>
              <w:t>2</w:t>
            </w:r>
          </w:p>
        </w:tc>
        <w:tc>
          <w:tcPr>
            <w:tcW w:w="119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Intercept</w:t>
            </w:r>
            <w:proofErr w:type="spellEnd"/>
          </w:p>
        </w:tc>
        <w:tc>
          <w:tcPr>
            <w:tcW w:w="116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Std</w:t>
            </w:r>
            <w:proofErr w:type="spellEnd"/>
            <w:r w:rsidRPr="009226F8">
              <w:rPr>
                <w:b/>
                <w:bCs/>
                <w:color w:val="000000"/>
                <w:sz w:val="20"/>
                <w:szCs w:val="20"/>
              </w:rPr>
              <w:t xml:space="preserve"> </w:t>
            </w:r>
            <w:proofErr w:type="spellStart"/>
            <w:r w:rsidRPr="009226F8">
              <w:rPr>
                <w:b/>
                <w:bCs/>
                <w:color w:val="000000"/>
                <w:sz w:val="20"/>
                <w:szCs w:val="20"/>
              </w:rPr>
              <w:t>Dev</w:t>
            </w:r>
            <w:proofErr w:type="spellEnd"/>
          </w:p>
        </w:tc>
        <w:tc>
          <w:tcPr>
            <w:tcW w:w="177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log(EMP)</w:t>
            </w:r>
          </w:p>
        </w:tc>
        <w:tc>
          <w:tcPr>
            <w:tcW w:w="116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Std</w:t>
            </w:r>
            <w:proofErr w:type="spellEnd"/>
            <w:r w:rsidRPr="009226F8">
              <w:rPr>
                <w:b/>
                <w:bCs/>
                <w:color w:val="000000"/>
                <w:sz w:val="20"/>
                <w:szCs w:val="20"/>
              </w:rPr>
              <w:t xml:space="preserve"> </w:t>
            </w:r>
            <w:proofErr w:type="spellStart"/>
            <w:r w:rsidRPr="009226F8">
              <w:rPr>
                <w:b/>
                <w:bCs/>
                <w:color w:val="000000"/>
                <w:sz w:val="20"/>
                <w:szCs w:val="20"/>
              </w:rPr>
              <w:t>Dev</w:t>
            </w:r>
            <w:proofErr w:type="spellEnd"/>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0.208</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2.053</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0.009</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0.012</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0.312</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2.033</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-0.043</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0.009</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0.299</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2.013</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-0.044</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0.010</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0.380</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2.004</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0.009</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0.339</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1.993</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-0.044</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0.009</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0.258</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1.972</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0.010</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0.012</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0.471</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1.934</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-0.055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0.008</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92</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0.485</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1.909</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-0.056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0.008</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93</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0.478</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1.885</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-0.057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0.009</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94</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0.139</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1.889</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0.010</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0.066</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1.887</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0.012</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0.007</w:t>
            </w:r>
          </w:p>
        </w:tc>
      </w:tr>
      <w:tr w:rsidR="009226F8" w:rsidRPr="009226F8" w:rsidTr="0067794B">
        <w:trPr>
          <w:trHeight w:val="259"/>
        </w:trPr>
        <w:tc>
          <w:tcPr>
            <w:tcW w:w="7940" w:type="dxa"/>
            <w:gridSpan w:val="6"/>
            <w:tcBorders>
              <w:top w:val="nil"/>
              <w:left w:val="nil"/>
              <w:bottom w:val="nil"/>
              <w:right w:val="nil"/>
            </w:tcBorders>
            <w:shd w:val="clear" w:color="auto" w:fill="auto"/>
            <w:hideMark/>
          </w:tcPr>
          <w:p w:rsidR="009226F8" w:rsidRPr="009226F8" w:rsidRDefault="009226F8" w:rsidP="0067794B">
            <w:pPr>
              <w:rPr>
                <w:i/>
                <w:iCs/>
                <w:color w:val="000000"/>
                <w:sz w:val="20"/>
                <w:szCs w:val="20"/>
              </w:rPr>
            </w:pPr>
            <w:proofErr w:type="spellStart"/>
            <w:r w:rsidRPr="009226F8">
              <w:rPr>
                <w:i/>
                <w:iCs/>
                <w:color w:val="000000"/>
                <w:sz w:val="20"/>
                <w:szCs w:val="20"/>
              </w:rPr>
              <w:t>Employment</w:t>
            </w:r>
            <w:proofErr w:type="spellEnd"/>
            <w:r w:rsidRPr="009226F8">
              <w:rPr>
                <w:i/>
                <w:iCs/>
                <w:color w:val="000000"/>
                <w:sz w:val="20"/>
                <w:szCs w:val="20"/>
              </w:rPr>
              <w:t xml:space="preserve"> </w:t>
            </w:r>
            <w:proofErr w:type="spellStart"/>
            <w:r w:rsidRPr="009226F8">
              <w:rPr>
                <w:i/>
                <w:iCs/>
                <w:color w:val="000000"/>
                <w:sz w:val="20"/>
                <w:szCs w:val="20"/>
              </w:rPr>
              <w:t>density</w:t>
            </w:r>
            <w:proofErr w:type="spellEnd"/>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YEAR</w:t>
            </w:r>
          </w:p>
        </w:tc>
        <w:tc>
          <w:tcPr>
            <w:tcW w:w="116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R</w:t>
            </w:r>
            <w:r w:rsidRPr="009226F8">
              <w:rPr>
                <w:b/>
                <w:bCs/>
                <w:color w:val="000000"/>
                <w:sz w:val="20"/>
                <w:szCs w:val="20"/>
                <w:vertAlign w:val="superscript"/>
              </w:rPr>
              <w:t>2</w:t>
            </w:r>
          </w:p>
        </w:tc>
        <w:tc>
          <w:tcPr>
            <w:tcW w:w="119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Intercept</w:t>
            </w:r>
            <w:proofErr w:type="spellEnd"/>
          </w:p>
        </w:tc>
        <w:tc>
          <w:tcPr>
            <w:tcW w:w="116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Std</w:t>
            </w:r>
            <w:proofErr w:type="spellEnd"/>
            <w:r w:rsidRPr="009226F8">
              <w:rPr>
                <w:b/>
                <w:bCs/>
                <w:color w:val="000000"/>
                <w:sz w:val="20"/>
                <w:szCs w:val="20"/>
              </w:rPr>
              <w:t xml:space="preserve"> </w:t>
            </w:r>
            <w:proofErr w:type="spellStart"/>
            <w:r w:rsidRPr="009226F8">
              <w:rPr>
                <w:b/>
                <w:bCs/>
                <w:color w:val="000000"/>
                <w:sz w:val="20"/>
                <w:szCs w:val="20"/>
              </w:rPr>
              <w:t>Dev</w:t>
            </w:r>
            <w:proofErr w:type="spellEnd"/>
          </w:p>
        </w:tc>
        <w:tc>
          <w:tcPr>
            <w:tcW w:w="177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log(EMP/SUP)</w:t>
            </w:r>
          </w:p>
        </w:tc>
        <w:tc>
          <w:tcPr>
            <w:tcW w:w="116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Std</w:t>
            </w:r>
            <w:proofErr w:type="spellEnd"/>
            <w:r w:rsidRPr="009226F8">
              <w:rPr>
                <w:b/>
                <w:bCs/>
                <w:color w:val="000000"/>
                <w:sz w:val="20"/>
                <w:szCs w:val="20"/>
              </w:rPr>
              <w:t xml:space="preserve"> </w:t>
            </w:r>
            <w:proofErr w:type="spellStart"/>
            <w:r w:rsidRPr="009226F8">
              <w:rPr>
                <w:b/>
                <w:bCs/>
                <w:color w:val="000000"/>
                <w:sz w:val="20"/>
                <w:szCs w:val="20"/>
              </w:rPr>
              <w:t>Dev</w:t>
            </w:r>
            <w:proofErr w:type="spellEnd"/>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0.308</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2.053</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0.009</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0.008</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0.418</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2.033</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0.367</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2.013</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0.007</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0.496</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2.004</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0.494</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1.993</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0.320</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1.972</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0.009</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0.009</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0.563</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1.934</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92</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0.569</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1.909</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93</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0.552</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1.885</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-0.047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94</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0.142</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1.889</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0.008</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0.007</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0.107</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1.887</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0.012</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r>
    </w:tbl>
    <w:p w:rsidR="009226F8" w:rsidRPr="009226F8" w:rsidRDefault="009226F8" w:rsidP="009226F8">
      <w:pPr>
        <w:pStyle w:val="ICABRPictures-Tables"/>
        <w:rPr>
          <w:rFonts w:ascii="Times New Roman" w:hAnsi="Times New Roman"/>
          <w:sz w:val="20"/>
          <w:szCs w:val="20"/>
        </w:rPr>
      </w:pPr>
      <w:r w:rsidRPr="009226F8">
        <w:rPr>
          <w:rFonts w:ascii="Times New Roman" w:hAnsi="Times New Roman"/>
          <w:sz w:val="20"/>
          <w:szCs w:val="20"/>
        </w:rPr>
        <w:lastRenderedPageBreak/>
        <w:t xml:space="preserve"> Table A4 </w:t>
      </w:r>
      <w:proofErr w:type="spellStart"/>
      <w:r w:rsidRPr="009226F8">
        <w:rPr>
          <w:rFonts w:ascii="Times New Roman" w:hAnsi="Times New Roman"/>
          <w:sz w:val="20"/>
          <w:szCs w:val="20"/>
        </w:rPr>
        <w:t>Domar</w:t>
      </w:r>
      <w:proofErr w:type="spellEnd"/>
      <w:r w:rsidRPr="009226F8">
        <w:rPr>
          <w:rFonts w:ascii="Times New Roman" w:hAnsi="Times New Roman"/>
          <w:sz w:val="20"/>
          <w:szCs w:val="20"/>
        </w:rPr>
        <w:t xml:space="preserve"> factor regressions on province size. Services</w:t>
      </w:r>
    </w:p>
    <w:tbl>
      <w:tblPr>
        <w:tblW w:w="7940" w:type="dxa"/>
        <w:tblInd w:w="70" w:type="dxa"/>
        <w:tblCellMar>
          <w:left w:w="70" w:type="dxa"/>
          <w:right w:w="70" w:type="dxa"/>
        </w:tblCellMar>
        <w:tblLook w:val="04A0"/>
      </w:tblPr>
      <w:tblGrid>
        <w:gridCol w:w="1467"/>
        <w:gridCol w:w="1174"/>
        <w:gridCol w:w="1189"/>
        <w:gridCol w:w="1174"/>
        <w:gridCol w:w="1762"/>
        <w:gridCol w:w="1174"/>
      </w:tblGrid>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rPr>
                <w:i/>
                <w:iCs/>
                <w:color w:val="000000"/>
                <w:sz w:val="20"/>
                <w:szCs w:val="20"/>
              </w:rPr>
            </w:pPr>
            <w:proofErr w:type="spellStart"/>
            <w:r w:rsidRPr="009226F8">
              <w:rPr>
                <w:i/>
                <w:iCs/>
                <w:color w:val="000000"/>
                <w:sz w:val="20"/>
                <w:szCs w:val="20"/>
              </w:rPr>
              <w:t>Population</w:t>
            </w:r>
            <w:proofErr w:type="spellEnd"/>
          </w:p>
        </w:tc>
        <w:tc>
          <w:tcPr>
            <w:tcW w:w="1168" w:type="dxa"/>
            <w:tcBorders>
              <w:top w:val="nil"/>
              <w:left w:val="nil"/>
              <w:bottom w:val="nil"/>
              <w:right w:val="nil"/>
            </w:tcBorders>
            <w:shd w:val="clear" w:color="auto" w:fill="auto"/>
            <w:hideMark/>
          </w:tcPr>
          <w:p w:rsidR="009226F8" w:rsidRPr="009226F8" w:rsidRDefault="009226F8" w:rsidP="0067794B">
            <w:pPr>
              <w:rPr>
                <w:color w:val="000000"/>
                <w:sz w:val="20"/>
                <w:szCs w:val="20"/>
              </w:rPr>
            </w:pPr>
          </w:p>
        </w:tc>
        <w:tc>
          <w:tcPr>
            <w:tcW w:w="1192" w:type="dxa"/>
            <w:tcBorders>
              <w:top w:val="nil"/>
              <w:left w:val="nil"/>
              <w:bottom w:val="nil"/>
              <w:right w:val="nil"/>
            </w:tcBorders>
            <w:shd w:val="clear" w:color="auto" w:fill="auto"/>
            <w:hideMark/>
          </w:tcPr>
          <w:p w:rsidR="009226F8" w:rsidRPr="009226F8" w:rsidRDefault="009226F8" w:rsidP="0067794B">
            <w:pPr>
              <w:rPr>
                <w:color w:val="000000"/>
                <w:sz w:val="20"/>
                <w:szCs w:val="20"/>
              </w:rPr>
            </w:pPr>
          </w:p>
        </w:tc>
        <w:tc>
          <w:tcPr>
            <w:tcW w:w="1162" w:type="dxa"/>
            <w:tcBorders>
              <w:top w:val="nil"/>
              <w:left w:val="nil"/>
              <w:bottom w:val="nil"/>
              <w:right w:val="nil"/>
            </w:tcBorders>
            <w:shd w:val="clear" w:color="auto" w:fill="auto"/>
            <w:hideMark/>
          </w:tcPr>
          <w:p w:rsidR="009226F8" w:rsidRPr="009226F8" w:rsidRDefault="009226F8" w:rsidP="0067794B">
            <w:pPr>
              <w:rPr>
                <w:color w:val="000000"/>
                <w:sz w:val="20"/>
                <w:szCs w:val="20"/>
              </w:rPr>
            </w:pPr>
          </w:p>
        </w:tc>
        <w:tc>
          <w:tcPr>
            <w:tcW w:w="1778" w:type="dxa"/>
            <w:tcBorders>
              <w:top w:val="nil"/>
              <w:left w:val="nil"/>
              <w:bottom w:val="nil"/>
              <w:right w:val="nil"/>
            </w:tcBorders>
            <w:shd w:val="clear" w:color="auto" w:fill="auto"/>
            <w:hideMark/>
          </w:tcPr>
          <w:p w:rsidR="009226F8" w:rsidRPr="009226F8" w:rsidRDefault="009226F8" w:rsidP="0067794B">
            <w:pPr>
              <w:rPr>
                <w:color w:val="000000"/>
                <w:sz w:val="20"/>
                <w:szCs w:val="20"/>
              </w:rPr>
            </w:pPr>
          </w:p>
        </w:tc>
        <w:tc>
          <w:tcPr>
            <w:tcW w:w="1168" w:type="dxa"/>
            <w:tcBorders>
              <w:top w:val="nil"/>
              <w:left w:val="nil"/>
              <w:bottom w:val="nil"/>
              <w:right w:val="nil"/>
            </w:tcBorders>
            <w:shd w:val="clear" w:color="auto" w:fill="auto"/>
            <w:hideMark/>
          </w:tcPr>
          <w:p w:rsidR="009226F8" w:rsidRPr="009226F8" w:rsidRDefault="009226F8" w:rsidP="0067794B">
            <w:pPr>
              <w:rPr>
                <w:color w:val="000000"/>
                <w:sz w:val="20"/>
                <w:szCs w:val="20"/>
              </w:rPr>
            </w:pPr>
          </w:p>
        </w:tc>
      </w:tr>
      <w:tr w:rsidR="009226F8" w:rsidRPr="009226F8" w:rsidTr="0067794B">
        <w:trPr>
          <w:trHeight w:val="259"/>
        </w:trPr>
        <w:tc>
          <w:tcPr>
            <w:tcW w:w="1480"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YEAR</w:t>
            </w:r>
          </w:p>
        </w:tc>
        <w:tc>
          <w:tcPr>
            <w:tcW w:w="1200"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R</w:t>
            </w:r>
            <w:r w:rsidRPr="009226F8">
              <w:rPr>
                <w:b/>
                <w:bCs/>
                <w:color w:val="000000"/>
                <w:sz w:val="20"/>
                <w:szCs w:val="20"/>
                <w:vertAlign w:val="superscript"/>
              </w:rPr>
              <w:t>2</w:t>
            </w:r>
          </w:p>
        </w:tc>
        <w:tc>
          <w:tcPr>
            <w:tcW w:w="1200"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Intercept</w:t>
            </w:r>
            <w:proofErr w:type="spellEnd"/>
          </w:p>
        </w:tc>
        <w:tc>
          <w:tcPr>
            <w:tcW w:w="1200"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Std</w:t>
            </w:r>
            <w:proofErr w:type="spellEnd"/>
            <w:r w:rsidRPr="009226F8">
              <w:rPr>
                <w:b/>
                <w:bCs/>
                <w:color w:val="000000"/>
                <w:sz w:val="20"/>
                <w:szCs w:val="20"/>
              </w:rPr>
              <w:t xml:space="preserve"> </w:t>
            </w:r>
            <w:proofErr w:type="spellStart"/>
            <w:r w:rsidRPr="009226F8">
              <w:rPr>
                <w:b/>
                <w:bCs/>
                <w:color w:val="000000"/>
                <w:sz w:val="20"/>
                <w:szCs w:val="20"/>
              </w:rPr>
              <w:t>Dev</w:t>
            </w:r>
            <w:proofErr w:type="spellEnd"/>
          </w:p>
        </w:tc>
        <w:tc>
          <w:tcPr>
            <w:tcW w:w="1660"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log(POP)</w:t>
            </w:r>
          </w:p>
        </w:tc>
        <w:tc>
          <w:tcPr>
            <w:tcW w:w="1200"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Std</w:t>
            </w:r>
            <w:proofErr w:type="spellEnd"/>
            <w:r w:rsidRPr="009226F8">
              <w:rPr>
                <w:b/>
                <w:bCs/>
                <w:color w:val="000000"/>
                <w:sz w:val="20"/>
                <w:szCs w:val="20"/>
              </w:rPr>
              <w:t xml:space="preserve"> </w:t>
            </w:r>
            <w:proofErr w:type="spellStart"/>
            <w:r w:rsidRPr="009226F8">
              <w:rPr>
                <w:b/>
                <w:bCs/>
                <w:color w:val="000000"/>
                <w:sz w:val="20"/>
                <w:szCs w:val="20"/>
              </w:rPr>
              <w:t>Dev</w:t>
            </w:r>
            <w:proofErr w:type="spellEnd"/>
          </w:p>
        </w:tc>
      </w:tr>
      <w:tr w:rsidR="009226F8" w:rsidRPr="009226F8" w:rsidTr="0067794B">
        <w:trPr>
          <w:trHeight w:val="259"/>
        </w:trPr>
        <w:tc>
          <w:tcPr>
            <w:tcW w:w="1480"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85</w:t>
            </w:r>
          </w:p>
        </w:tc>
        <w:tc>
          <w:tcPr>
            <w:tcW w:w="1200"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0.106</w:t>
            </w:r>
          </w:p>
        </w:tc>
        <w:tc>
          <w:tcPr>
            <w:tcW w:w="1200"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1.345</w:t>
            </w:r>
          </w:p>
        </w:tc>
        <w:tc>
          <w:tcPr>
            <w:tcW w:w="1200"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c>
          <w:tcPr>
            <w:tcW w:w="1660"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0.018</w:t>
            </w:r>
          </w:p>
        </w:tc>
        <w:tc>
          <w:tcPr>
            <w:tcW w:w="1200"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0.008</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0.133</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1.331</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0.024</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0.009</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0.131</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1.350</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0.007</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0.130</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1.346</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0.007</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0.139</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1.347</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0.085</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1.351</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0.014</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0.156</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1.357</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92</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0.176</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1.361</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0.004</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93</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0.170</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1.366</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0.004</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94</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0.129</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1.368</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0.120</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1.371</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0.014</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r>
      <w:tr w:rsidR="009226F8" w:rsidRPr="009226F8" w:rsidTr="0067794B">
        <w:trPr>
          <w:trHeight w:val="259"/>
        </w:trPr>
        <w:tc>
          <w:tcPr>
            <w:tcW w:w="7940" w:type="dxa"/>
            <w:gridSpan w:val="6"/>
            <w:tcBorders>
              <w:top w:val="nil"/>
              <w:left w:val="nil"/>
              <w:bottom w:val="nil"/>
              <w:right w:val="nil"/>
            </w:tcBorders>
            <w:shd w:val="clear" w:color="auto" w:fill="auto"/>
            <w:hideMark/>
          </w:tcPr>
          <w:p w:rsidR="009226F8" w:rsidRPr="009226F8" w:rsidRDefault="009226F8" w:rsidP="0067794B">
            <w:pPr>
              <w:rPr>
                <w:i/>
                <w:iCs/>
                <w:color w:val="000000"/>
                <w:sz w:val="20"/>
                <w:szCs w:val="20"/>
              </w:rPr>
            </w:pPr>
            <w:proofErr w:type="spellStart"/>
            <w:r w:rsidRPr="009226F8">
              <w:rPr>
                <w:i/>
                <w:iCs/>
                <w:color w:val="000000"/>
                <w:sz w:val="20"/>
                <w:szCs w:val="20"/>
              </w:rPr>
              <w:t>Population</w:t>
            </w:r>
            <w:proofErr w:type="spellEnd"/>
            <w:r w:rsidRPr="009226F8">
              <w:rPr>
                <w:i/>
                <w:iCs/>
                <w:color w:val="000000"/>
                <w:sz w:val="20"/>
                <w:szCs w:val="20"/>
              </w:rPr>
              <w:t xml:space="preserve"> </w:t>
            </w:r>
            <w:proofErr w:type="spellStart"/>
            <w:r w:rsidRPr="009226F8">
              <w:rPr>
                <w:i/>
                <w:iCs/>
                <w:color w:val="000000"/>
                <w:sz w:val="20"/>
                <w:szCs w:val="20"/>
              </w:rPr>
              <w:t>density</w:t>
            </w:r>
            <w:proofErr w:type="spellEnd"/>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YEAR</w:t>
            </w:r>
          </w:p>
        </w:tc>
        <w:tc>
          <w:tcPr>
            <w:tcW w:w="116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R</w:t>
            </w:r>
            <w:r w:rsidRPr="009226F8">
              <w:rPr>
                <w:b/>
                <w:bCs/>
                <w:color w:val="000000"/>
                <w:sz w:val="20"/>
                <w:szCs w:val="20"/>
                <w:vertAlign w:val="superscript"/>
              </w:rPr>
              <w:t>2</w:t>
            </w:r>
          </w:p>
        </w:tc>
        <w:tc>
          <w:tcPr>
            <w:tcW w:w="119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Intercept</w:t>
            </w:r>
            <w:proofErr w:type="spellEnd"/>
          </w:p>
        </w:tc>
        <w:tc>
          <w:tcPr>
            <w:tcW w:w="116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Std</w:t>
            </w:r>
            <w:proofErr w:type="spellEnd"/>
            <w:r w:rsidRPr="009226F8">
              <w:rPr>
                <w:b/>
                <w:bCs/>
                <w:color w:val="000000"/>
                <w:sz w:val="20"/>
                <w:szCs w:val="20"/>
              </w:rPr>
              <w:t xml:space="preserve"> </w:t>
            </w:r>
            <w:proofErr w:type="spellStart"/>
            <w:r w:rsidRPr="009226F8">
              <w:rPr>
                <w:b/>
                <w:bCs/>
                <w:color w:val="000000"/>
                <w:sz w:val="20"/>
                <w:szCs w:val="20"/>
              </w:rPr>
              <w:t>Dev</w:t>
            </w:r>
            <w:proofErr w:type="spellEnd"/>
          </w:p>
        </w:tc>
        <w:tc>
          <w:tcPr>
            <w:tcW w:w="177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log(POP/SUP)</w:t>
            </w:r>
          </w:p>
        </w:tc>
        <w:tc>
          <w:tcPr>
            <w:tcW w:w="116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Std</w:t>
            </w:r>
            <w:proofErr w:type="spellEnd"/>
            <w:r w:rsidRPr="009226F8">
              <w:rPr>
                <w:b/>
                <w:bCs/>
                <w:color w:val="000000"/>
                <w:sz w:val="20"/>
                <w:szCs w:val="20"/>
              </w:rPr>
              <w:t xml:space="preserve"> </w:t>
            </w:r>
            <w:proofErr w:type="spellStart"/>
            <w:r w:rsidRPr="009226F8">
              <w:rPr>
                <w:b/>
                <w:bCs/>
                <w:color w:val="000000"/>
                <w:sz w:val="20"/>
                <w:szCs w:val="20"/>
              </w:rPr>
              <w:t>Dev</w:t>
            </w:r>
            <w:proofErr w:type="spellEnd"/>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0.215</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1.345</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0.267</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1.331</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0.241</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1.350</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0.237</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1.346</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0.236</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1.347</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0.149</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1.351</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0.014</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0.254</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1.357</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0.004</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0.004</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92</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0.272</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1.361</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0.004</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0.004</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93</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0.273</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1.366</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0.004</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0.004</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94</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0.236</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1.368</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0.004</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0.004</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0.216</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1.371</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0.004</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0.004</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rPr>
                <w:i/>
                <w:iCs/>
                <w:color w:val="000000"/>
                <w:sz w:val="20"/>
                <w:szCs w:val="20"/>
              </w:rPr>
            </w:pPr>
            <w:proofErr w:type="spellStart"/>
            <w:r w:rsidRPr="009226F8">
              <w:rPr>
                <w:i/>
                <w:iCs/>
                <w:color w:val="000000"/>
                <w:sz w:val="20"/>
                <w:szCs w:val="20"/>
              </w:rPr>
              <w:t>Employment</w:t>
            </w:r>
            <w:proofErr w:type="spellEnd"/>
          </w:p>
        </w:tc>
        <w:tc>
          <w:tcPr>
            <w:tcW w:w="1168" w:type="dxa"/>
            <w:tcBorders>
              <w:top w:val="nil"/>
              <w:left w:val="nil"/>
              <w:bottom w:val="nil"/>
              <w:right w:val="nil"/>
            </w:tcBorders>
            <w:shd w:val="clear" w:color="auto" w:fill="auto"/>
            <w:hideMark/>
          </w:tcPr>
          <w:p w:rsidR="009226F8" w:rsidRPr="009226F8" w:rsidRDefault="009226F8" w:rsidP="0067794B">
            <w:pPr>
              <w:rPr>
                <w:i/>
                <w:iCs/>
                <w:color w:val="000000"/>
                <w:sz w:val="20"/>
                <w:szCs w:val="20"/>
              </w:rPr>
            </w:pPr>
          </w:p>
        </w:tc>
        <w:tc>
          <w:tcPr>
            <w:tcW w:w="1192" w:type="dxa"/>
            <w:tcBorders>
              <w:top w:val="nil"/>
              <w:left w:val="nil"/>
              <w:bottom w:val="nil"/>
              <w:right w:val="nil"/>
            </w:tcBorders>
            <w:shd w:val="clear" w:color="auto" w:fill="auto"/>
            <w:hideMark/>
          </w:tcPr>
          <w:p w:rsidR="009226F8" w:rsidRPr="009226F8" w:rsidRDefault="009226F8" w:rsidP="0067794B">
            <w:pPr>
              <w:rPr>
                <w:i/>
                <w:iCs/>
                <w:color w:val="000000"/>
                <w:sz w:val="20"/>
                <w:szCs w:val="20"/>
              </w:rPr>
            </w:pPr>
          </w:p>
        </w:tc>
        <w:tc>
          <w:tcPr>
            <w:tcW w:w="1162" w:type="dxa"/>
            <w:tcBorders>
              <w:top w:val="nil"/>
              <w:left w:val="nil"/>
              <w:bottom w:val="nil"/>
              <w:right w:val="nil"/>
            </w:tcBorders>
            <w:shd w:val="clear" w:color="auto" w:fill="auto"/>
            <w:hideMark/>
          </w:tcPr>
          <w:p w:rsidR="009226F8" w:rsidRPr="009226F8" w:rsidRDefault="009226F8" w:rsidP="0067794B">
            <w:pPr>
              <w:rPr>
                <w:i/>
                <w:iCs/>
                <w:color w:val="000000"/>
                <w:sz w:val="20"/>
                <w:szCs w:val="20"/>
              </w:rPr>
            </w:pPr>
          </w:p>
        </w:tc>
        <w:tc>
          <w:tcPr>
            <w:tcW w:w="1778" w:type="dxa"/>
            <w:tcBorders>
              <w:top w:val="nil"/>
              <w:left w:val="nil"/>
              <w:bottom w:val="nil"/>
              <w:right w:val="nil"/>
            </w:tcBorders>
            <w:shd w:val="clear" w:color="auto" w:fill="auto"/>
            <w:hideMark/>
          </w:tcPr>
          <w:p w:rsidR="009226F8" w:rsidRPr="009226F8" w:rsidRDefault="009226F8" w:rsidP="0067794B">
            <w:pPr>
              <w:rPr>
                <w:i/>
                <w:iCs/>
                <w:color w:val="000000"/>
                <w:sz w:val="20"/>
                <w:szCs w:val="20"/>
              </w:rPr>
            </w:pPr>
          </w:p>
        </w:tc>
        <w:tc>
          <w:tcPr>
            <w:tcW w:w="1168" w:type="dxa"/>
            <w:tcBorders>
              <w:top w:val="nil"/>
              <w:left w:val="nil"/>
              <w:bottom w:val="nil"/>
              <w:right w:val="nil"/>
            </w:tcBorders>
            <w:shd w:val="clear" w:color="auto" w:fill="auto"/>
            <w:hideMark/>
          </w:tcPr>
          <w:p w:rsidR="009226F8" w:rsidRPr="009226F8" w:rsidRDefault="009226F8" w:rsidP="0067794B">
            <w:pPr>
              <w:rPr>
                <w:i/>
                <w:iCs/>
                <w:color w:val="000000"/>
                <w:sz w:val="20"/>
                <w:szCs w:val="20"/>
              </w:rPr>
            </w:pP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YEAR</w:t>
            </w:r>
          </w:p>
        </w:tc>
        <w:tc>
          <w:tcPr>
            <w:tcW w:w="116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R</w:t>
            </w:r>
            <w:r w:rsidRPr="009226F8">
              <w:rPr>
                <w:b/>
                <w:bCs/>
                <w:color w:val="000000"/>
                <w:sz w:val="20"/>
                <w:szCs w:val="20"/>
                <w:vertAlign w:val="superscript"/>
              </w:rPr>
              <w:t>2</w:t>
            </w:r>
          </w:p>
        </w:tc>
        <w:tc>
          <w:tcPr>
            <w:tcW w:w="119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Intercept</w:t>
            </w:r>
            <w:proofErr w:type="spellEnd"/>
          </w:p>
        </w:tc>
        <w:tc>
          <w:tcPr>
            <w:tcW w:w="116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Std</w:t>
            </w:r>
            <w:proofErr w:type="spellEnd"/>
            <w:r w:rsidRPr="009226F8">
              <w:rPr>
                <w:b/>
                <w:bCs/>
                <w:color w:val="000000"/>
                <w:sz w:val="20"/>
                <w:szCs w:val="20"/>
              </w:rPr>
              <w:t xml:space="preserve"> </w:t>
            </w:r>
            <w:proofErr w:type="spellStart"/>
            <w:r w:rsidRPr="009226F8">
              <w:rPr>
                <w:b/>
                <w:bCs/>
                <w:color w:val="000000"/>
                <w:sz w:val="20"/>
                <w:szCs w:val="20"/>
              </w:rPr>
              <w:t>Dev</w:t>
            </w:r>
            <w:proofErr w:type="spellEnd"/>
          </w:p>
        </w:tc>
        <w:tc>
          <w:tcPr>
            <w:tcW w:w="177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log(EMP)</w:t>
            </w:r>
          </w:p>
        </w:tc>
        <w:tc>
          <w:tcPr>
            <w:tcW w:w="116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Std</w:t>
            </w:r>
            <w:proofErr w:type="spellEnd"/>
            <w:r w:rsidRPr="009226F8">
              <w:rPr>
                <w:b/>
                <w:bCs/>
                <w:color w:val="000000"/>
                <w:sz w:val="20"/>
                <w:szCs w:val="20"/>
              </w:rPr>
              <w:t xml:space="preserve"> </w:t>
            </w:r>
            <w:proofErr w:type="spellStart"/>
            <w:r w:rsidRPr="009226F8">
              <w:rPr>
                <w:b/>
                <w:bCs/>
                <w:color w:val="000000"/>
                <w:sz w:val="20"/>
                <w:szCs w:val="20"/>
              </w:rPr>
              <w:t>Dev</w:t>
            </w:r>
            <w:proofErr w:type="spellEnd"/>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0.156</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1.345</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0.023</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0.008</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0.204</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1.331</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0.007</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0.030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0.009</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0.182</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1.350</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0.024</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0.007</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0.181</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1.346</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0.022</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0.007</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0.196</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1.347</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0.125</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1.351</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0.213</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1.357</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0.004</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92</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0.223</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1.361</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0.004</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93</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0.229</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1.366</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0.004</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94</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0.185</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1.368</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0.004</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0.184</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1.371</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0.004</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r>
      <w:tr w:rsidR="009226F8" w:rsidRPr="009226F8" w:rsidTr="0067794B">
        <w:trPr>
          <w:trHeight w:val="259"/>
        </w:trPr>
        <w:tc>
          <w:tcPr>
            <w:tcW w:w="7940" w:type="dxa"/>
            <w:gridSpan w:val="6"/>
            <w:tcBorders>
              <w:top w:val="nil"/>
              <w:left w:val="nil"/>
              <w:bottom w:val="nil"/>
              <w:right w:val="nil"/>
            </w:tcBorders>
            <w:shd w:val="clear" w:color="auto" w:fill="auto"/>
            <w:hideMark/>
          </w:tcPr>
          <w:p w:rsidR="009226F8" w:rsidRPr="009226F8" w:rsidRDefault="009226F8" w:rsidP="0067794B">
            <w:pPr>
              <w:rPr>
                <w:i/>
                <w:iCs/>
                <w:color w:val="000000"/>
                <w:sz w:val="20"/>
                <w:szCs w:val="20"/>
              </w:rPr>
            </w:pPr>
            <w:proofErr w:type="spellStart"/>
            <w:r w:rsidRPr="009226F8">
              <w:rPr>
                <w:i/>
                <w:iCs/>
                <w:color w:val="000000"/>
                <w:sz w:val="20"/>
                <w:szCs w:val="20"/>
              </w:rPr>
              <w:t>Employment</w:t>
            </w:r>
            <w:proofErr w:type="spellEnd"/>
            <w:r w:rsidRPr="009226F8">
              <w:rPr>
                <w:i/>
                <w:iCs/>
                <w:color w:val="000000"/>
                <w:sz w:val="20"/>
                <w:szCs w:val="20"/>
              </w:rPr>
              <w:t xml:space="preserve"> </w:t>
            </w:r>
            <w:proofErr w:type="spellStart"/>
            <w:r w:rsidRPr="009226F8">
              <w:rPr>
                <w:i/>
                <w:iCs/>
                <w:color w:val="000000"/>
                <w:sz w:val="20"/>
                <w:szCs w:val="20"/>
              </w:rPr>
              <w:t>density</w:t>
            </w:r>
            <w:proofErr w:type="spellEnd"/>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YEAR</w:t>
            </w:r>
          </w:p>
        </w:tc>
        <w:tc>
          <w:tcPr>
            <w:tcW w:w="116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R</w:t>
            </w:r>
            <w:r w:rsidRPr="009226F8">
              <w:rPr>
                <w:b/>
                <w:bCs/>
                <w:color w:val="000000"/>
                <w:sz w:val="20"/>
                <w:szCs w:val="20"/>
                <w:vertAlign w:val="superscript"/>
              </w:rPr>
              <w:t>2</w:t>
            </w:r>
          </w:p>
        </w:tc>
        <w:tc>
          <w:tcPr>
            <w:tcW w:w="119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Intercept</w:t>
            </w:r>
            <w:proofErr w:type="spellEnd"/>
          </w:p>
        </w:tc>
        <w:tc>
          <w:tcPr>
            <w:tcW w:w="1162"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Std</w:t>
            </w:r>
            <w:proofErr w:type="spellEnd"/>
            <w:r w:rsidRPr="009226F8">
              <w:rPr>
                <w:b/>
                <w:bCs/>
                <w:color w:val="000000"/>
                <w:sz w:val="20"/>
                <w:szCs w:val="20"/>
              </w:rPr>
              <w:t xml:space="preserve"> </w:t>
            </w:r>
            <w:proofErr w:type="spellStart"/>
            <w:r w:rsidRPr="009226F8">
              <w:rPr>
                <w:b/>
                <w:bCs/>
                <w:color w:val="000000"/>
                <w:sz w:val="20"/>
                <w:szCs w:val="20"/>
              </w:rPr>
              <w:t>Dev</w:t>
            </w:r>
            <w:proofErr w:type="spellEnd"/>
          </w:p>
        </w:tc>
        <w:tc>
          <w:tcPr>
            <w:tcW w:w="177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r w:rsidRPr="009226F8">
              <w:rPr>
                <w:b/>
                <w:bCs/>
                <w:color w:val="000000"/>
                <w:sz w:val="20"/>
                <w:szCs w:val="20"/>
              </w:rPr>
              <w:t>log(EMP/SUP)</w:t>
            </w:r>
          </w:p>
        </w:tc>
        <w:tc>
          <w:tcPr>
            <w:tcW w:w="1168" w:type="dxa"/>
            <w:tcBorders>
              <w:top w:val="nil"/>
              <w:left w:val="nil"/>
              <w:bottom w:val="nil"/>
              <w:right w:val="nil"/>
            </w:tcBorders>
            <w:shd w:val="clear" w:color="auto" w:fill="auto"/>
            <w:hideMark/>
          </w:tcPr>
          <w:p w:rsidR="009226F8" w:rsidRPr="009226F8" w:rsidRDefault="009226F8" w:rsidP="0067794B">
            <w:pPr>
              <w:jc w:val="center"/>
              <w:rPr>
                <w:b/>
                <w:bCs/>
                <w:color w:val="000000"/>
                <w:sz w:val="20"/>
                <w:szCs w:val="20"/>
              </w:rPr>
            </w:pPr>
            <w:proofErr w:type="spellStart"/>
            <w:r w:rsidRPr="009226F8">
              <w:rPr>
                <w:b/>
                <w:bCs/>
                <w:color w:val="000000"/>
                <w:sz w:val="20"/>
                <w:szCs w:val="20"/>
              </w:rPr>
              <w:t>Std</w:t>
            </w:r>
            <w:proofErr w:type="spellEnd"/>
            <w:r w:rsidRPr="009226F8">
              <w:rPr>
                <w:b/>
                <w:bCs/>
                <w:color w:val="000000"/>
                <w:sz w:val="20"/>
                <w:szCs w:val="20"/>
              </w:rPr>
              <w:t xml:space="preserve"> </w:t>
            </w:r>
            <w:proofErr w:type="spellStart"/>
            <w:r w:rsidRPr="009226F8">
              <w:rPr>
                <w:b/>
                <w:bCs/>
                <w:color w:val="000000"/>
                <w:sz w:val="20"/>
                <w:szCs w:val="20"/>
              </w:rPr>
              <w:t>Dev</w:t>
            </w:r>
            <w:proofErr w:type="spellEnd"/>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0.257</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1.345</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0.022</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86</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0.327</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1.331</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0.006</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0.280</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1.350</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0.022</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0.276</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1.346</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0.021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89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0.280</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1.347</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0.019</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0.004</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90</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0.181</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1.351</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0.005</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91</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0.296</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1.357</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0.004</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0.004</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92</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0.303</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1.361</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0.004</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0.018</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0.004</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93</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0.316</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1.366</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0.004</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0.004</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94</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0.280</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1.368</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0.004</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0.004</w:t>
            </w:r>
          </w:p>
        </w:tc>
      </w:tr>
      <w:tr w:rsidR="009226F8" w:rsidRPr="009226F8" w:rsidTr="0067794B">
        <w:trPr>
          <w:trHeight w:val="259"/>
        </w:trPr>
        <w:tc>
          <w:tcPr>
            <w:tcW w:w="147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95</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0.268</w:t>
            </w:r>
          </w:p>
        </w:tc>
        <w:tc>
          <w:tcPr>
            <w:tcW w:w="119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1.371</w:t>
            </w:r>
          </w:p>
        </w:tc>
        <w:tc>
          <w:tcPr>
            <w:tcW w:w="1162"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0.004</w:t>
            </w:r>
          </w:p>
        </w:tc>
        <w:tc>
          <w:tcPr>
            <w:tcW w:w="177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0.017</w:t>
            </w:r>
          </w:p>
        </w:tc>
        <w:tc>
          <w:tcPr>
            <w:tcW w:w="1168" w:type="dxa"/>
            <w:tcBorders>
              <w:top w:val="nil"/>
              <w:left w:val="nil"/>
              <w:bottom w:val="nil"/>
              <w:right w:val="nil"/>
            </w:tcBorders>
            <w:shd w:val="clear" w:color="auto" w:fill="auto"/>
            <w:hideMark/>
          </w:tcPr>
          <w:p w:rsidR="009226F8" w:rsidRPr="009226F8" w:rsidRDefault="009226F8" w:rsidP="0067794B">
            <w:pPr>
              <w:jc w:val="center"/>
              <w:rPr>
                <w:color w:val="000000"/>
                <w:sz w:val="20"/>
                <w:szCs w:val="20"/>
              </w:rPr>
            </w:pPr>
            <w:r w:rsidRPr="009226F8">
              <w:rPr>
                <w:color w:val="000000"/>
                <w:sz w:val="20"/>
                <w:szCs w:val="20"/>
              </w:rPr>
              <w:t>0.004</w:t>
            </w:r>
          </w:p>
        </w:tc>
      </w:tr>
    </w:tbl>
    <w:p w:rsidR="006A10A1" w:rsidRPr="009226F8" w:rsidRDefault="006A10A1" w:rsidP="00BE68D3">
      <w:pPr>
        <w:spacing w:line="360" w:lineRule="auto"/>
        <w:ind w:left="709" w:hanging="709"/>
        <w:jc w:val="both"/>
        <w:rPr>
          <w:sz w:val="20"/>
          <w:szCs w:val="20"/>
          <w:lang w:val="en-GB"/>
        </w:rPr>
      </w:pPr>
    </w:p>
    <w:sectPr w:rsidR="006A10A1" w:rsidRPr="009226F8" w:rsidSect="00BE68D3">
      <w:headerReference w:type="default" r:id="rId9"/>
      <w:pgSz w:w="11906" w:h="16838"/>
      <w:pgMar w:top="1819" w:right="1701" w:bottom="56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0F6" w:rsidRDefault="007F60F6" w:rsidP="00893C47">
      <w:r>
        <w:separator/>
      </w:r>
    </w:p>
  </w:endnote>
  <w:endnote w:type="continuationSeparator" w:id="0">
    <w:p w:rsidR="007F60F6" w:rsidRDefault="007F60F6" w:rsidP="00893C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99A" w:rsidRDefault="0005127C" w:rsidP="00BE68D3">
    <w:pPr>
      <w:pStyle w:val="Piedepgina"/>
      <w:tabs>
        <w:tab w:val="clear" w:pos="8838"/>
        <w:tab w:val="center" w:pos="4252"/>
        <w:tab w:val="left" w:pos="4956"/>
        <w:tab w:val="left" w:pos="5664"/>
        <w:tab w:val="left" w:pos="6372"/>
        <w:tab w:val="left" w:pos="7080"/>
      </w:tabs>
      <w:ind w:left="720"/>
    </w:pPr>
    <w:sdt>
      <w:sdtPr>
        <w:id w:val="1278469970"/>
        <w:docPartObj>
          <w:docPartGallery w:val="Page Numbers (Bottom of Page)"/>
          <w:docPartUnique/>
        </w:docPartObj>
      </w:sdtPr>
      <w:sdtContent>
        <w:r w:rsidR="009226F8">
          <w:tab/>
        </w:r>
        <w:fldSimple w:instr=" PAGE   \* MERGEFORMAT ">
          <w:r w:rsidR="0021596F">
            <w:rPr>
              <w:noProof/>
            </w:rPr>
            <w:t>12</w:t>
          </w:r>
        </w:fldSimple>
      </w:sdtContent>
    </w:sdt>
    <w:r w:rsidR="009226F8">
      <w:tab/>
    </w:r>
    <w:r w:rsidR="009226F8">
      <w:tab/>
    </w:r>
    <w:r w:rsidR="009226F8">
      <w:tab/>
    </w:r>
    <w:r w:rsidR="009226F8">
      <w:tab/>
    </w:r>
    <w:r w:rsidR="009226F8">
      <w:tab/>
    </w:r>
    <w:r w:rsidR="009226F8">
      <w:tab/>
    </w:r>
  </w:p>
  <w:p w:rsidR="0087399A" w:rsidRDefault="0087399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0F6" w:rsidRDefault="007F60F6" w:rsidP="00893C47">
      <w:r>
        <w:separator/>
      </w:r>
    </w:p>
  </w:footnote>
  <w:footnote w:type="continuationSeparator" w:id="0">
    <w:p w:rsidR="007F60F6" w:rsidRDefault="007F60F6" w:rsidP="0089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99A" w:rsidRDefault="0087399A">
    <w:pPr>
      <w:pStyle w:val="Encabezado"/>
    </w:pPr>
    <w:r>
      <w:rPr>
        <w:noProof/>
      </w:rPr>
      <w:drawing>
        <wp:inline distT="0" distB="0" distL="0" distR="0">
          <wp:extent cx="5429250" cy="1019175"/>
          <wp:effectExtent l="19050" t="0" r="0" b="0"/>
          <wp:docPr id="1" name="Imagen 1" descr="cfp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p_eng"/>
                  <pic:cNvPicPr>
                    <a:picLocks noChangeAspect="1" noChangeArrowheads="1"/>
                  </pic:cNvPicPr>
                </pic:nvPicPr>
                <pic:blipFill>
                  <a:blip r:embed="rId1"/>
                  <a:srcRect/>
                  <a:stretch>
                    <a:fillRect/>
                  </a:stretch>
                </pic:blipFill>
                <pic:spPr bwMode="auto">
                  <a:xfrm>
                    <a:off x="0" y="0"/>
                    <a:ext cx="5429250" cy="10191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99A" w:rsidRPr="00075019" w:rsidRDefault="0087399A" w:rsidP="0007501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E6B67"/>
    <w:multiLevelType w:val="singleLevel"/>
    <w:tmpl w:val="2BFE2C46"/>
    <w:lvl w:ilvl="0">
      <w:start w:val="1"/>
      <w:numFmt w:val="bullet"/>
      <w:pStyle w:val="ICABRnaturals"/>
      <w:lvlText w:val=""/>
      <w:lvlJc w:val="left"/>
      <w:pPr>
        <w:tabs>
          <w:tab w:val="num" w:pos="360"/>
        </w:tabs>
        <w:ind w:left="360" w:hanging="360"/>
      </w:pPr>
      <w:rPr>
        <w:rFonts w:ascii="Symbol" w:hAnsi="Symbol" w:hint="default"/>
      </w:rPr>
    </w:lvl>
  </w:abstractNum>
  <w:abstractNum w:abstractNumId="1">
    <w:nsid w:val="490E5C8B"/>
    <w:multiLevelType w:val="hybridMultilevel"/>
    <w:tmpl w:val="21227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7FB2BB7"/>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9409B"/>
    <w:rsid w:val="00000755"/>
    <w:rsid w:val="0002614E"/>
    <w:rsid w:val="000302B0"/>
    <w:rsid w:val="000333A5"/>
    <w:rsid w:val="00041D88"/>
    <w:rsid w:val="0005127C"/>
    <w:rsid w:val="00063FD7"/>
    <w:rsid w:val="00075019"/>
    <w:rsid w:val="000A0483"/>
    <w:rsid w:val="000A6D6D"/>
    <w:rsid w:val="000B70BF"/>
    <w:rsid w:val="000C7339"/>
    <w:rsid w:val="000D4D87"/>
    <w:rsid w:val="000D642B"/>
    <w:rsid w:val="000F68A8"/>
    <w:rsid w:val="00101398"/>
    <w:rsid w:val="00101ECC"/>
    <w:rsid w:val="001046CB"/>
    <w:rsid w:val="00111546"/>
    <w:rsid w:val="001125BD"/>
    <w:rsid w:val="0011458D"/>
    <w:rsid w:val="00115B30"/>
    <w:rsid w:val="001366D4"/>
    <w:rsid w:val="00141D25"/>
    <w:rsid w:val="00152084"/>
    <w:rsid w:val="00156C3F"/>
    <w:rsid w:val="00157D09"/>
    <w:rsid w:val="001649BB"/>
    <w:rsid w:val="00187D0A"/>
    <w:rsid w:val="0019254C"/>
    <w:rsid w:val="00196950"/>
    <w:rsid w:val="001B6129"/>
    <w:rsid w:val="001C4E52"/>
    <w:rsid w:val="001D01A2"/>
    <w:rsid w:val="001D4E02"/>
    <w:rsid w:val="00201D7E"/>
    <w:rsid w:val="00210E6B"/>
    <w:rsid w:val="0021596F"/>
    <w:rsid w:val="0022011E"/>
    <w:rsid w:val="002212CC"/>
    <w:rsid w:val="00223998"/>
    <w:rsid w:val="00235D51"/>
    <w:rsid w:val="00255811"/>
    <w:rsid w:val="002604CC"/>
    <w:rsid w:val="00261715"/>
    <w:rsid w:val="00265158"/>
    <w:rsid w:val="002704E7"/>
    <w:rsid w:val="00271112"/>
    <w:rsid w:val="002A6880"/>
    <w:rsid w:val="002D2AEF"/>
    <w:rsid w:val="002E47B1"/>
    <w:rsid w:val="002F4455"/>
    <w:rsid w:val="002F6CBA"/>
    <w:rsid w:val="00307208"/>
    <w:rsid w:val="003109B5"/>
    <w:rsid w:val="00317404"/>
    <w:rsid w:val="00323923"/>
    <w:rsid w:val="00327453"/>
    <w:rsid w:val="003333DE"/>
    <w:rsid w:val="00352E51"/>
    <w:rsid w:val="00355FA4"/>
    <w:rsid w:val="00357B4E"/>
    <w:rsid w:val="00376DCE"/>
    <w:rsid w:val="00381F8F"/>
    <w:rsid w:val="00384B14"/>
    <w:rsid w:val="00387CED"/>
    <w:rsid w:val="003B1E9E"/>
    <w:rsid w:val="003B41CA"/>
    <w:rsid w:val="003B6A9D"/>
    <w:rsid w:val="003B7B1A"/>
    <w:rsid w:val="003C023E"/>
    <w:rsid w:val="003C11AD"/>
    <w:rsid w:val="003C2053"/>
    <w:rsid w:val="003C32EE"/>
    <w:rsid w:val="003C6DC9"/>
    <w:rsid w:val="003E74EE"/>
    <w:rsid w:val="004013DD"/>
    <w:rsid w:val="0040683C"/>
    <w:rsid w:val="00414FAA"/>
    <w:rsid w:val="00415B11"/>
    <w:rsid w:val="00426936"/>
    <w:rsid w:val="004275A6"/>
    <w:rsid w:val="00427EC1"/>
    <w:rsid w:val="00430B92"/>
    <w:rsid w:val="00434DD7"/>
    <w:rsid w:val="004462AE"/>
    <w:rsid w:val="00446AB2"/>
    <w:rsid w:val="004543AF"/>
    <w:rsid w:val="00454A91"/>
    <w:rsid w:val="004550AE"/>
    <w:rsid w:val="00466372"/>
    <w:rsid w:val="0046639A"/>
    <w:rsid w:val="004710A2"/>
    <w:rsid w:val="00480ED0"/>
    <w:rsid w:val="00491AD6"/>
    <w:rsid w:val="0049617F"/>
    <w:rsid w:val="00497DC5"/>
    <w:rsid w:val="004A03C2"/>
    <w:rsid w:val="004A04B1"/>
    <w:rsid w:val="004B4D0B"/>
    <w:rsid w:val="004C0672"/>
    <w:rsid w:val="004C20B7"/>
    <w:rsid w:val="004C22B4"/>
    <w:rsid w:val="004C6B75"/>
    <w:rsid w:val="004C7AA0"/>
    <w:rsid w:val="004E75B0"/>
    <w:rsid w:val="004E776E"/>
    <w:rsid w:val="004F44E3"/>
    <w:rsid w:val="00506029"/>
    <w:rsid w:val="00513D90"/>
    <w:rsid w:val="00517305"/>
    <w:rsid w:val="00521CCF"/>
    <w:rsid w:val="0053523A"/>
    <w:rsid w:val="00535AF0"/>
    <w:rsid w:val="005360B8"/>
    <w:rsid w:val="0053621C"/>
    <w:rsid w:val="0055294C"/>
    <w:rsid w:val="00557987"/>
    <w:rsid w:val="00570FCA"/>
    <w:rsid w:val="00590B0A"/>
    <w:rsid w:val="00591DA7"/>
    <w:rsid w:val="005940EC"/>
    <w:rsid w:val="005A43E4"/>
    <w:rsid w:val="005B003A"/>
    <w:rsid w:val="005B33ED"/>
    <w:rsid w:val="005B39A7"/>
    <w:rsid w:val="005B3CE3"/>
    <w:rsid w:val="005B69F2"/>
    <w:rsid w:val="005D594B"/>
    <w:rsid w:val="005E3521"/>
    <w:rsid w:val="005E3538"/>
    <w:rsid w:val="005E38AC"/>
    <w:rsid w:val="005F40B8"/>
    <w:rsid w:val="00611876"/>
    <w:rsid w:val="00624D1F"/>
    <w:rsid w:val="006628D2"/>
    <w:rsid w:val="00665E40"/>
    <w:rsid w:val="006828F6"/>
    <w:rsid w:val="00685168"/>
    <w:rsid w:val="006860AA"/>
    <w:rsid w:val="006A10A1"/>
    <w:rsid w:val="006A6E3A"/>
    <w:rsid w:val="006B2424"/>
    <w:rsid w:val="006B3128"/>
    <w:rsid w:val="006C4DD3"/>
    <w:rsid w:val="006C4F5C"/>
    <w:rsid w:val="006C6CFC"/>
    <w:rsid w:val="006D11C6"/>
    <w:rsid w:val="006E0099"/>
    <w:rsid w:val="006E34FC"/>
    <w:rsid w:val="006E3B5F"/>
    <w:rsid w:val="006E54DE"/>
    <w:rsid w:val="006F24E2"/>
    <w:rsid w:val="006F623F"/>
    <w:rsid w:val="007025D8"/>
    <w:rsid w:val="00710211"/>
    <w:rsid w:val="00714351"/>
    <w:rsid w:val="007232C9"/>
    <w:rsid w:val="007235D2"/>
    <w:rsid w:val="0072392B"/>
    <w:rsid w:val="00727E6C"/>
    <w:rsid w:val="00733B5F"/>
    <w:rsid w:val="007424A3"/>
    <w:rsid w:val="007434C0"/>
    <w:rsid w:val="007438FD"/>
    <w:rsid w:val="0076130D"/>
    <w:rsid w:val="00763908"/>
    <w:rsid w:val="007876E4"/>
    <w:rsid w:val="00787F68"/>
    <w:rsid w:val="00790362"/>
    <w:rsid w:val="00795CEF"/>
    <w:rsid w:val="007A07D2"/>
    <w:rsid w:val="007A3CDA"/>
    <w:rsid w:val="007A7019"/>
    <w:rsid w:val="007B505C"/>
    <w:rsid w:val="007B6208"/>
    <w:rsid w:val="007C0D14"/>
    <w:rsid w:val="007C1C19"/>
    <w:rsid w:val="007C3F9B"/>
    <w:rsid w:val="007C3FB5"/>
    <w:rsid w:val="007C417A"/>
    <w:rsid w:val="007D4EF6"/>
    <w:rsid w:val="007D6BDB"/>
    <w:rsid w:val="007D76CE"/>
    <w:rsid w:val="007D7940"/>
    <w:rsid w:val="007E5BA4"/>
    <w:rsid w:val="007F52FE"/>
    <w:rsid w:val="007F60F6"/>
    <w:rsid w:val="008065FC"/>
    <w:rsid w:val="0081031D"/>
    <w:rsid w:val="00817268"/>
    <w:rsid w:val="00835EA6"/>
    <w:rsid w:val="008477A1"/>
    <w:rsid w:val="008545C0"/>
    <w:rsid w:val="00855D75"/>
    <w:rsid w:val="00870484"/>
    <w:rsid w:val="0087399A"/>
    <w:rsid w:val="008821C7"/>
    <w:rsid w:val="00890325"/>
    <w:rsid w:val="00893C47"/>
    <w:rsid w:val="008A5190"/>
    <w:rsid w:val="008A76D0"/>
    <w:rsid w:val="008B5777"/>
    <w:rsid w:val="008C5E67"/>
    <w:rsid w:val="008C7CE1"/>
    <w:rsid w:val="008D6B65"/>
    <w:rsid w:val="008D7D47"/>
    <w:rsid w:val="008E057F"/>
    <w:rsid w:val="008E3F3C"/>
    <w:rsid w:val="008E6040"/>
    <w:rsid w:val="008E7254"/>
    <w:rsid w:val="008F40D0"/>
    <w:rsid w:val="008F7C31"/>
    <w:rsid w:val="0091646E"/>
    <w:rsid w:val="009226F8"/>
    <w:rsid w:val="00924F66"/>
    <w:rsid w:val="009267D3"/>
    <w:rsid w:val="00930221"/>
    <w:rsid w:val="00941E72"/>
    <w:rsid w:val="009436C2"/>
    <w:rsid w:val="009505E6"/>
    <w:rsid w:val="009545EC"/>
    <w:rsid w:val="00970406"/>
    <w:rsid w:val="00975AD4"/>
    <w:rsid w:val="00977A55"/>
    <w:rsid w:val="00984322"/>
    <w:rsid w:val="00991C6E"/>
    <w:rsid w:val="0099421E"/>
    <w:rsid w:val="009950C7"/>
    <w:rsid w:val="009A6159"/>
    <w:rsid w:val="009B7500"/>
    <w:rsid w:val="009C2822"/>
    <w:rsid w:val="009C47B7"/>
    <w:rsid w:val="009C54E4"/>
    <w:rsid w:val="009C6BD9"/>
    <w:rsid w:val="009D1E5C"/>
    <w:rsid w:val="00A2135C"/>
    <w:rsid w:val="00A2210E"/>
    <w:rsid w:val="00A42475"/>
    <w:rsid w:val="00A45E09"/>
    <w:rsid w:val="00A56C31"/>
    <w:rsid w:val="00A6384A"/>
    <w:rsid w:val="00A7323E"/>
    <w:rsid w:val="00A74CAE"/>
    <w:rsid w:val="00A7523F"/>
    <w:rsid w:val="00A7766E"/>
    <w:rsid w:val="00A80D0A"/>
    <w:rsid w:val="00A87823"/>
    <w:rsid w:val="00A915CF"/>
    <w:rsid w:val="00A9196A"/>
    <w:rsid w:val="00A91B9D"/>
    <w:rsid w:val="00A9409B"/>
    <w:rsid w:val="00A949E6"/>
    <w:rsid w:val="00AA4B9A"/>
    <w:rsid w:val="00AB08AC"/>
    <w:rsid w:val="00AB2565"/>
    <w:rsid w:val="00AB7002"/>
    <w:rsid w:val="00AB7192"/>
    <w:rsid w:val="00AD27BC"/>
    <w:rsid w:val="00AF590C"/>
    <w:rsid w:val="00B15998"/>
    <w:rsid w:val="00B175A6"/>
    <w:rsid w:val="00B35874"/>
    <w:rsid w:val="00B35A97"/>
    <w:rsid w:val="00B368A5"/>
    <w:rsid w:val="00B3695F"/>
    <w:rsid w:val="00B71AF6"/>
    <w:rsid w:val="00B73C51"/>
    <w:rsid w:val="00B86488"/>
    <w:rsid w:val="00B90E83"/>
    <w:rsid w:val="00B94694"/>
    <w:rsid w:val="00BA041F"/>
    <w:rsid w:val="00BA2255"/>
    <w:rsid w:val="00BA405C"/>
    <w:rsid w:val="00BB783F"/>
    <w:rsid w:val="00BC0147"/>
    <w:rsid w:val="00BC0E5F"/>
    <w:rsid w:val="00BE2B1C"/>
    <w:rsid w:val="00BE68D3"/>
    <w:rsid w:val="00BF1146"/>
    <w:rsid w:val="00BF4FFF"/>
    <w:rsid w:val="00BF6C99"/>
    <w:rsid w:val="00C03A62"/>
    <w:rsid w:val="00C110BD"/>
    <w:rsid w:val="00C15A28"/>
    <w:rsid w:val="00C24EE5"/>
    <w:rsid w:val="00C24FDD"/>
    <w:rsid w:val="00C34A7D"/>
    <w:rsid w:val="00C35295"/>
    <w:rsid w:val="00C36FEC"/>
    <w:rsid w:val="00C3731E"/>
    <w:rsid w:val="00C373AD"/>
    <w:rsid w:val="00C40EA2"/>
    <w:rsid w:val="00C713DA"/>
    <w:rsid w:val="00C717DA"/>
    <w:rsid w:val="00C75C26"/>
    <w:rsid w:val="00C92190"/>
    <w:rsid w:val="00C961E1"/>
    <w:rsid w:val="00CA111E"/>
    <w:rsid w:val="00CC5F6D"/>
    <w:rsid w:val="00CD0153"/>
    <w:rsid w:val="00CD0C7E"/>
    <w:rsid w:val="00CD5F62"/>
    <w:rsid w:val="00CD6D0F"/>
    <w:rsid w:val="00CE046E"/>
    <w:rsid w:val="00CE36F8"/>
    <w:rsid w:val="00CE6C89"/>
    <w:rsid w:val="00CF7E66"/>
    <w:rsid w:val="00D1272D"/>
    <w:rsid w:val="00D23795"/>
    <w:rsid w:val="00D3604A"/>
    <w:rsid w:val="00D42286"/>
    <w:rsid w:val="00D5089F"/>
    <w:rsid w:val="00D53D25"/>
    <w:rsid w:val="00D565B9"/>
    <w:rsid w:val="00D6157B"/>
    <w:rsid w:val="00D616D2"/>
    <w:rsid w:val="00D66F57"/>
    <w:rsid w:val="00D821A8"/>
    <w:rsid w:val="00D84CD9"/>
    <w:rsid w:val="00D93387"/>
    <w:rsid w:val="00DB21BB"/>
    <w:rsid w:val="00DB75D3"/>
    <w:rsid w:val="00DC773E"/>
    <w:rsid w:val="00DE25E6"/>
    <w:rsid w:val="00DE73C7"/>
    <w:rsid w:val="00DF4D9A"/>
    <w:rsid w:val="00E03B2C"/>
    <w:rsid w:val="00E047C5"/>
    <w:rsid w:val="00E0518C"/>
    <w:rsid w:val="00E1021F"/>
    <w:rsid w:val="00E13682"/>
    <w:rsid w:val="00E2437E"/>
    <w:rsid w:val="00E36318"/>
    <w:rsid w:val="00E41732"/>
    <w:rsid w:val="00E604E9"/>
    <w:rsid w:val="00E6269C"/>
    <w:rsid w:val="00E64BDD"/>
    <w:rsid w:val="00E65BE0"/>
    <w:rsid w:val="00E7273B"/>
    <w:rsid w:val="00E73D56"/>
    <w:rsid w:val="00E82FBB"/>
    <w:rsid w:val="00E91900"/>
    <w:rsid w:val="00E93B66"/>
    <w:rsid w:val="00EA409A"/>
    <w:rsid w:val="00EC4456"/>
    <w:rsid w:val="00EC49E7"/>
    <w:rsid w:val="00EC637A"/>
    <w:rsid w:val="00EC6BD2"/>
    <w:rsid w:val="00ED1845"/>
    <w:rsid w:val="00EE1D8E"/>
    <w:rsid w:val="00EE7035"/>
    <w:rsid w:val="00F018CC"/>
    <w:rsid w:val="00F0480C"/>
    <w:rsid w:val="00F050F3"/>
    <w:rsid w:val="00F37ABF"/>
    <w:rsid w:val="00F444D3"/>
    <w:rsid w:val="00F5011D"/>
    <w:rsid w:val="00F5203B"/>
    <w:rsid w:val="00F526B0"/>
    <w:rsid w:val="00F61A51"/>
    <w:rsid w:val="00F6341E"/>
    <w:rsid w:val="00F7355A"/>
    <w:rsid w:val="00F84660"/>
    <w:rsid w:val="00F91927"/>
    <w:rsid w:val="00F954A4"/>
    <w:rsid w:val="00FA0CFC"/>
    <w:rsid w:val="00FA3725"/>
    <w:rsid w:val="00FA4BCF"/>
    <w:rsid w:val="00FA639F"/>
    <w:rsid w:val="00FC3505"/>
    <w:rsid w:val="00FC53A4"/>
    <w:rsid w:val="00FD22F2"/>
    <w:rsid w:val="00FD4DD9"/>
    <w:rsid w:val="00FD5826"/>
    <w:rsid w:val="00FD6B8A"/>
    <w:rsid w:val="00FE1D7E"/>
    <w:rsid w:val="00FE6B47"/>
    <w:rsid w:val="00FF40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09B"/>
    <w:rPr>
      <w:sz w:val="24"/>
      <w:szCs w:val="24"/>
    </w:rPr>
  </w:style>
  <w:style w:type="paragraph" w:styleId="Ttulo1">
    <w:name w:val="heading 1"/>
    <w:basedOn w:val="Normal"/>
    <w:next w:val="Normal"/>
    <w:link w:val="Ttulo1Car"/>
    <w:qFormat/>
    <w:rsid w:val="008E60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ICABRNormalParagraph"/>
    <w:next w:val="ICABRNormalParagraph"/>
    <w:link w:val="Ttulo2Car"/>
    <w:qFormat/>
    <w:rsid w:val="009226F8"/>
    <w:pPr>
      <w:keepNext/>
      <w:tabs>
        <w:tab w:val="num" w:pos="-1701"/>
      </w:tabs>
      <w:spacing w:before="240"/>
      <w:ind w:left="426" w:hanging="426"/>
      <w:outlineLvl w:val="1"/>
    </w:pPr>
    <w:rPr>
      <w:b/>
    </w:rPr>
  </w:style>
  <w:style w:type="paragraph" w:styleId="Ttulo3">
    <w:name w:val="heading 3"/>
    <w:basedOn w:val="ICABRNormalParagraph"/>
    <w:next w:val="ICABRNormalParagraph"/>
    <w:link w:val="Ttulo3Car"/>
    <w:qFormat/>
    <w:rsid w:val="009226F8"/>
    <w:pPr>
      <w:keepNext/>
      <w:tabs>
        <w:tab w:val="num" w:pos="-1701"/>
      </w:tabs>
      <w:spacing w:before="240"/>
      <w:ind w:left="993" w:hanging="567"/>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3333DE"/>
    <w:pPr>
      <w:spacing w:before="100" w:beforeAutospacing="1" w:after="100" w:afterAutospacing="1"/>
    </w:pPr>
  </w:style>
  <w:style w:type="paragraph" w:styleId="Encabezado">
    <w:name w:val="header"/>
    <w:basedOn w:val="Normal"/>
    <w:link w:val="EncabezadoCar"/>
    <w:uiPriority w:val="99"/>
    <w:rsid w:val="00893C47"/>
    <w:pPr>
      <w:tabs>
        <w:tab w:val="center" w:pos="4419"/>
        <w:tab w:val="right" w:pos="8838"/>
      </w:tabs>
    </w:pPr>
  </w:style>
  <w:style w:type="character" w:customStyle="1" w:styleId="EncabezadoCar">
    <w:name w:val="Encabezado Car"/>
    <w:link w:val="Encabezado"/>
    <w:uiPriority w:val="99"/>
    <w:rsid w:val="00893C47"/>
    <w:rPr>
      <w:sz w:val="24"/>
      <w:szCs w:val="24"/>
      <w:lang w:val="es-ES" w:eastAsia="es-ES"/>
    </w:rPr>
  </w:style>
  <w:style w:type="paragraph" w:styleId="Piedepgina">
    <w:name w:val="footer"/>
    <w:basedOn w:val="Normal"/>
    <w:link w:val="PiedepginaCar"/>
    <w:uiPriority w:val="99"/>
    <w:rsid w:val="00893C47"/>
    <w:pPr>
      <w:tabs>
        <w:tab w:val="center" w:pos="4419"/>
        <w:tab w:val="right" w:pos="8838"/>
      </w:tabs>
    </w:pPr>
  </w:style>
  <w:style w:type="character" w:customStyle="1" w:styleId="PiedepginaCar">
    <w:name w:val="Pie de página Car"/>
    <w:link w:val="Piedepgina"/>
    <w:uiPriority w:val="99"/>
    <w:rsid w:val="00893C47"/>
    <w:rPr>
      <w:sz w:val="24"/>
      <w:szCs w:val="24"/>
      <w:lang w:val="es-ES" w:eastAsia="es-ES"/>
    </w:rPr>
  </w:style>
  <w:style w:type="character" w:customStyle="1" w:styleId="apple-converted-space">
    <w:name w:val="apple-converted-space"/>
    <w:rsid w:val="00710211"/>
  </w:style>
  <w:style w:type="character" w:styleId="nfasis">
    <w:name w:val="Emphasis"/>
    <w:uiPriority w:val="20"/>
    <w:qFormat/>
    <w:rsid w:val="00414FAA"/>
    <w:rPr>
      <w:i/>
      <w:iCs/>
    </w:rPr>
  </w:style>
  <w:style w:type="paragraph" w:styleId="Textodeglobo">
    <w:name w:val="Balloon Text"/>
    <w:basedOn w:val="Normal"/>
    <w:link w:val="TextodegloboCar"/>
    <w:uiPriority w:val="99"/>
    <w:rsid w:val="00817268"/>
    <w:rPr>
      <w:rFonts w:ascii="Tahoma" w:hAnsi="Tahoma" w:cs="Tahoma"/>
      <w:sz w:val="16"/>
      <w:szCs w:val="16"/>
    </w:rPr>
  </w:style>
  <w:style w:type="character" w:customStyle="1" w:styleId="TextodegloboCar">
    <w:name w:val="Texto de globo Car"/>
    <w:basedOn w:val="Fuentedeprrafopredeter"/>
    <w:link w:val="Textodeglobo"/>
    <w:uiPriority w:val="99"/>
    <w:rsid w:val="00817268"/>
    <w:rPr>
      <w:rFonts w:ascii="Tahoma" w:hAnsi="Tahoma" w:cs="Tahoma"/>
      <w:sz w:val="16"/>
      <w:szCs w:val="16"/>
    </w:rPr>
  </w:style>
  <w:style w:type="paragraph" w:customStyle="1" w:styleId="ICABRHeading1">
    <w:name w:val="ICABR Heading 1"/>
    <w:basedOn w:val="Ttulo1"/>
    <w:link w:val="Heading1Char"/>
    <w:qFormat/>
    <w:rsid w:val="008E6040"/>
    <w:pPr>
      <w:suppressAutoHyphens/>
      <w:spacing w:before="360" w:after="60"/>
      <w:ind w:left="360" w:hanging="360"/>
    </w:pPr>
    <w:rPr>
      <w:rFonts w:ascii="Arial" w:eastAsia="Times New Roman" w:hAnsi="Arial" w:cs="Times New Roman"/>
      <w:bCs w:val="0"/>
      <w:color w:val="auto"/>
      <w:kern w:val="28"/>
      <w:sz w:val="24"/>
      <w:szCs w:val="18"/>
      <w:lang w:val="en-GB" w:eastAsia="cs-CZ"/>
    </w:rPr>
  </w:style>
  <w:style w:type="character" w:customStyle="1" w:styleId="Heading1Char">
    <w:name w:val="Heading 1 Char"/>
    <w:basedOn w:val="Ttulo1Car"/>
    <w:link w:val="ICABRHeading1"/>
    <w:rsid w:val="008E6040"/>
    <w:rPr>
      <w:rFonts w:ascii="Arial" w:hAnsi="Arial"/>
      <w:kern w:val="28"/>
      <w:sz w:val="24"/>
      <w:szCs w:val="18"/>
      <w:lang w:val="en-GB" w:eastAsia="cs-CZ"/>
    </w:rPr>
  </w:style>
  <w:style w:type="character" w:customStyle="1" w:styleId="Ttulo1Car">
    <w:name w:val="Título 1 Car"/>
    <w:basedOn w:val="Fuentedeprrafopredeter"/>
    <w:link w:val="Ttulo1"/>
    <w:rsid w:val="008E6040"/>
    <w:rPr>
      <w:rFonts w:asciiTheme="majorHAnsi" w:eastAsiaTheme="majorEastAsia" w:hAnsiTheme="majorHAnsi" w:cstheme="majorBidi"/>
      <w:b/>
      <w:bCs/>
      <w:color w:val="365F91" w:themeColor="accent1" w:themeShade="BF"/>
      <w:sz w:val="28"/>
      <w:szCs w:val="28"/>
    </w:rPr>
  </w:style>
  <w:style w:type="paragraph" w:customStyle="1" w:styleId="ICABRNormalParagraph">
    <w:name w:val="ICABR Normal Paragraph"/>
    <w:link w:val="ICABRNormalParagraphChar"/>
    <w:rsid w:val="00491AD6"/>
    <w:pPr>
      <w:spacing w:after="60"/>
      <w:ind w:firstLine="425"/>
      <w:jc w:val="both"/>
    </w:pPr>
    <w:rPr>
      <w:rFonts w:ascii="Arial" w:hAnsi="Arial"/>
      <w:sz w:val="22"/>
      <w:szCs w:val="18"/>
      <w:lang w:val="en-GB" w:eastAsia="cs-CZ"/>
    </w:rPr>
  </w:style>
  <w:style w:type="character" w:customStyle="1" w:styleId="ICABRNormalParagraphChar">
    <w:name w:val="ICABR Normal Paragraph Char"/>
    <w:basedOn w:val="Fuentedeprrafopredeter"/>
    <w:link w:val="ICABRNormalParagraph"/>
    <w:rsid w:val="00491AD6"/>
    <w:rPr>
      <w:rFonts w:ascii="Arial" w:hAnsi="Arial"/>
      <w:sz w:val="22"/>
      <w:szCs w:val="18"/>
      <w:lang w:val="en-GB" w:eastAsia="cs-CZ"/>
    </w:rPr>
  </w:style>
  <w:style w:type="paragraph" w:customStyle="1" w:styleId="ICABRPictures-Tables">
    <w:name w:val="ICABR Pictures - Tables"/>
    <w:basedOn w:val="Normal"/>
    <w:link w:val="ICABRPictures-TablesChar"/>
    <w:qFormat/>
    <w:rsid w:val="00491AD6"/>
    <w:pPr>
      <w:tabs>
        <w:tab w:val="left" w:pos="-2552"/>
      </w:tabs>
      <w:spacing w:before="40" w:after="40"/>
      <w:ind w:firstLine="454"/>
      <w:jc w:val="center"/>
    </w:pPr>
    <w:rPr>
      <w:rFonts w:ascii="Arial" w:hAnsi="Arial"/>
      <w:b/>
      <w:i/>
      <w:iCs/>
      <w:sz w:val="22"/>
      <w:szCs w:val="18"/>
      <w:lang w:val="en-GB" w:eastAsia="cs-CZ"/>
    </w:rPr>
  </w:style>
  <w:style w:type="character" w:customStyle="1" w:styleId="ICABRPictures-TablesChar">
    <w:name w:val="ICABR Pictures - Tables Char"/>
    <w:basedOn w:val="Fuentedeprrafopredeter"/>
    <w:link w:val="ICABRPictures-Tables"/>
    <w:rsid w:val="00491AD6"/>
    <w:rPr>
      <w:rFonts w:ascii="Arial" w:hAnsi="Arial"/>
      <w:b/>
      <w:i/>
      <w:iCs/>
      <w:sz w:val="22"/>
      <w:szCs w:val="18"/>
      <w:lang w:val="en-GB" w:eastAsia="cs-CZ"/>
    </w:rPr>
  </w:style>
  <w:style w:type="character" w:customStyle="1" w:styleId="Ttulo2Car">
    <w:name w:val="Título 2 Car"/>
    <w:basedOn w:val="Fuentedeprrafopredeter"/>
    <w:link w:val="Ttulo2"/>
    <w:rsid w:val="009226F8"/>
    <w:rPr>
      <w:rFonts w:ascii="Arial" w:hAnsi="Arial"/>
      <w:b/>
      <w:sz w:val="22"/>
      <w:szCs w:val="18"/>
      <w:lang w:val="en-GB" w:eastAsia="cs-CZ"/>
    </w:rPr>
  </w:style>
  <w:style w:type="character" w:customStyle="1" w:styleId="Ttulo3Car">
    <w:name w:val="Título 3 Car"/>
    <w:basedOn w:val="Fuentedeprrafopredeter"/>
    <w:link w:val="Ttulo3"/>
    <w:rsid w:val="009226F8"/>
    <w:rPr>
      <w:rFonts w:ascii="Arial" w:hAnsi="Arial"/>
      <w:sz w:val="22"/>
      <w:szCs w:val="18"/>
      <w:lang w:val="en-GB" w:eastAsia="cs-CZ"/>
    </w:rPr>
  </w:style>
  <w:style w:type="paragraph" w:customStyle="1" w:styleId="ICABRautor">
    <w:name w:val="ICABR autor"/>
    <w:link w:val="ICABRautorChar"/>
    <w:rsid w:val="009226F8"/>
    <w:pPr>
      <w:keepNext/>
      <w:keepLines/>
      <w:suppressAutoHyphens/>
      <w:spacing w:before="240" w:after="240"/>
      <w:jc w:val="center"/>
    </w:pPr>
    <w:rPr>
      <w:rFonts w:ascii="Arial" w:hAnsi="Arial"/>
      <w:b/>
      <w:noProof/>
      <w:sz w:val="22"/>
      <w:lang w:val="cs-CZ" w:eastAsia="cs-CZ"/>
    </w:rPr>
  </w:style>
  <w:style w:type="paragraph" w:styleId="Textonotapie">
    <w:name w:val="footnote text"/>
    <w:basedOn w:val="ICABRNormalParagraph"/>
    <w:link w:val="TextonotapieCar"/>
    <w:rsid w:val="009226F8"/>
    <w:rPr>
      <w:i/>
    </w:rPr>
  </w:style>
  <w:style w:type="character" w:customStyle="1" w:styleId="TextonotapieCar">
    <w:name w:val="Texto nota pie Car"/>
    <w:basedOn w:val="Fuentedeprrafopredeter"/>
    <w:link w:val="Textonotapie"/>
    <w:rsid w:val="009226F8"/>
    <w:rPr>
      <w:rFonts w:ascii="Arial" w:hAnsi="Arial"/>
      <w:i/>
      <w:sz w:val="22"/>
      <w:szCs w:val="18"/>
      <w:lang w:val="en-GB" w:eastAsia="cs-CZ"/>
    </w:rPr>
  </w:style>
  <w:style w:type="character" w:styleId="Refdenotaalpie">
    <w:name w:val="footnote reference"/>
    <w:basedOn w:val="Fuentedeprrafopredeter"/>
    <w:rsid w:val="009226F8"/>
    <w:rPr>
      <w:vertAlign w:val="superscript"/>
    </w:rPr>
  </w:style>
  <w:style w:type="paragraph" w:customStyle="1" w:styleId="ICABRTitleofPaper">
    <w:name w:val="ICABR Title of Paper"/>
    <w:basedOn w:val="Ttulo1"/>
    <w:rsid w:val="009226F8"/>
    <w:pPr>
      <w:suppressAutoHyphens/>
      <w:spacing w:before="360" w:after="360"/>
      <w:jc w:val="center"/>
    </w:pPr>
    <w:rPr>
      <w:rFonts w:ascii="Arial" w:eastAsia="Times New Roman" w:hAnsi="Arial" w:cs="Times New Roman"/>
      <w:bCs w:val="0"/>
      <w:color w:val="auto"/>
      <w:kern w:val="28"/>
      <w:sz w:val="32"/>
      <w:szCs w:val="32"/>
      <w:lang w:val="en-GB" w:eastAsia="cs-CZ"/>
    </w:rPr>
  </w:style>
  <w:style w:type="paragraph" w:customStyle="1" w:styleId="ICABRSummary">
    <w:name w:val="ICABR Summary"/>
    <w:basedOn w:val="ICABRNormalParagraph"/>
    <w:next w:val="ICABRNormalParagraph"/>
    <w:link w:val="ICABRSummaryChar"/>
    <w:rsid w:val="009226F8"/>
    <w:pPr>
      <w:ind w:firstLine="709"/>
    </w:pPr>
    <w:rPr>
      <w:b/>
      <w:bCs/>
      <w:szCs w:val="20"/>
    </w:rPr>
  </w:style>
  <w:style w:type="paragraph" w:customStyle="1" w:styleId="ICABRLiterature">
    <w:name w:val="ICABR Literature"/>
    <w:basedOn w:val="ICABRNormalParagraph"/>
    <w:rsid w:val="009226F8"/>
    <w:pPr>
      <w:tabs>
        <w:tab w:val="left" w:pos="284"/>
      </w:tabs>
      <w:spacing w:after="0"/>
      <w:ind w:left="284" w:hanging="284"/>
    </w:pPr>
    <w:rPr>
      <w:lang w:val="sk-SK"/>
    </w:rPr>
  </w:style>
  <w:style w:type="paragraph" w:customStyle="1" w:styleId="ICABRnaturals">
    <w:name w:val="ICABR naturals"/>
    <w:basedOn w:val="ICABRNormalParagraph"/>
    <w:rsid w:val="009226F8"/>
    <w:pPr>
      <w:numPr>
        <w:numId w:val="2"/>
      </w:numPr>
      <w:tabs>
        <w:tab w:val="clear" w:pos="360"/>
        <w:tab w:val="num" w:pos="785"/>
      </w:tabs>
      <w:ind w:left="782" w:hanging="357"/>
    </w:pPr>
  </w:style>
  <w:style w:type="paragraph" w:customStyle="1" w:styleId="ICABRTable">
    <w:name w:val="ICABR Table"/>
    <w:basedOn w:val="ICABRNormalParagraph"/>
    <w:rsid w:val="009226F8"/>
    <w:pPr>
      <w:spacing w:before="20" w:after="20"/>
      <w:ind w:firstLine="0"/>
      <w:jc w:val="left"/>
    </w:pPr>
    <w:rPr>
      <w:szCs w:val="20"/>
    </w:rPr>
  </w:style>
  <w:style w:type="paragraph" w:customStyle="1" w:styleId="ICABRco-author1">
    <w:name w:val="ICABR co-author1"/>
    <w:basedOn w:val="ICABRautor"/>
    <w:link w:val="ICABRco-author1Char"/>
    <w:qFormat/>
    <w:rsid w:val="009226F8"/>
  </w:style>
  <w:style w:type="paragraph" w:customStyle="1" w:styleId="ICABRHeading3">
    <w:name w:val="ICABR Heading 3"/>
    <w:basedOn w:val="Ttulo3"/>
    <w:link w:val="ICABRHeading3Char"/>
    <w:qFormat/>
    <w:rsid w:val="009226F8"/>
    <w:pPr>
      <w:tabs>
        <w:tab w:val="clear" w:pos="-1701"/>
      </w:tabs>
    </w:pPr>
    <w:rPr>
      <w:b/>
    </w:rPr>
  </w:style>
  <w:style w:type="paragraph" w:customStyle="1" w:styleId="ICABRLiteratureHeading">
    <w:name w:val="ICABR Literature Heading"/>
    <w:basedOn w:val="ICABRSummary"/>
    <w:link w:val="ICABRLiteratureChar"/>
    <w:qFormat/>
    <w:rsid w:val="009226F8"/>
  </w:style>
  <w:style w:type="paragraph" w:customStyle="1" w:styleId="ICABRHeading2">
    <w:name w:val="ICABR Heading 2"/>
    <w:basedOn w:val="Ttulo2"/>
    <w:link w:val="ICABRHeading2Char"/>
    <w:rsid w:val="009226F8"/>
    <w:pPr>
      <w:tabs>
        <w:tab w:val="clear" w:pos="-1701"/>
      </w:tabs>
    </w:pPr>
  </w:style>
  <w:style w:type="paragraph" w:customStyle="1" w:styleId="Heading3">
    <w:name w:val="Heading 3"/>
    <w:basedOn w:val="Ttulo2"/>
    <w:link w:val="Heading3Char"/>
    <w:rsid w:val="009226F8"/>
    <w:pPr>
      <w:numPr>
        <w:ilvl w:val="1"/>
      </w:numPr>
      <w:tabs>
        <w:tab w:val="num" w:pos="-1701"/>
      </w:tabs>
      <w:ind w:left="426" w:hanging="426"/>
    </w:pPr>
  </w:style>
  <w:style w:type="character" w:customStyle="1" w:styleId="ICABRHeading2Char">
    <w:name w:val="ICABR Heading 2 Char"/>
    <w:basedOn w:val="Ttulo1Car"/>
    <w:link w:val="ICABRHeading2"/>
    <w:rsid w:val="009226F8"/>
    <w:rPr>
      <w:rFonts w:ascii="Arial" w:hAnsi="Arial"/>
      <w:b/>
      <w:sz w:val="22"/>
      <w:szCs w:val="18"/>
      <w:lang w:val="en-GB" w:eastAsia="cs-CZ"/>
    </w:rPr>
  </w:style>
  <w:style w:type="character" w:styleId="Hipervnculo">
    <w:name w:val="Hyperlink"/>
    <w:basedOn w:val="Fuentedeprrafopredeter"/>
    <w:uiPriority w:val="99"/>
    <w:unhideWhenUsed/>
    <w:rsid w:val="009226F8"/>
    <w:rPr>
      <w:color w:val="0000FF"/>
      <w:u w:val="single"/>
    </w:rPr>
  </w:style>
  <w:style w:type="character" w:customStyle="1" w:styleId="Heading3Char">
    <w:name w:val="Heading 3 Char"/>
    <w:basedOn w:val="Ttulo2Car"/>
    <w:link w:val="Heading3"/>
    <w:rsid w:val="009226F8"/>
  </w:style>
  <w:style w:type="paragraph" w:customStyle="1" w:styleId="ICABRPicture">
    <w:name w:val="ICABR Picture"/>
    <w:basedOn w:val="ICABRPictures-Tables"/>
    <w:link w:val="ICABRPictureChar"/>
    <w:qFormat/>
    <w:rsid w:val="009226F8"/>
  </w:style>
  <w:style w:type="character" w:customStyle="1" w:styleId="ICABRPictureChar">
    <w:name w:val="ICABR Picture Char"/>
    <w:basedOn w:val="ICABRPictures-TablesChar"/>
    <w:link w:val="ICABRPicture"/>
    <w:rsid w:val="009226F8"/>
    <w:rPr>
      <w:b/>
      <w:i/>
      <w:iCs/>
    </w:rPr>
  </w:style>
  <w:style w:type="character" w:customStyle="1" w:styleId="ICABRHeading3Char">
    <w:name w:val="ICABR Heading 3 Char"/>
    <w:basedOn w:val="Ttulo3Car"/>
    <w:link w:val="ICABRHeading3"/>
    <w:rsid w:val="009226F8"/>
    <w:rPr>
      <w:b/>
    </w:rPr>
  </w:style>
  <w:style w:type="character" w:customStyle="1" w:styleId="ICABRSummaryChar">
    <w:name w:val="ICABR Summary Char"/>
    <w:basedOn w:val="ICABRNormalParagraphChar"/>
    <w:link w:val="ICABRSummary"/>
    <w:rsid w:val="009226F8"/>
    <w:rPr>
      <w:b/>
      <w:bCs/>
    </w:rPr>
  </w:style>
  <w:style w:type="character" w:customStyle="1" w:styleId="ICABRLiteratureChar">
    <w:name w:val="ICABR Literature Char"/>
    <w:basedOn w:val="ICABRSummaryChar"/>
    <w:link w:val="ICABRLiteratureHeading"/>
    <w:rsid w:val="009226F8"/>
  </w:style>
  <w:style w:type="character" w:customStyle="1" w:styleId="ICABRautorChar">
    <w:name w:val="ICABR autor Char"/>
    <w:basedOn w:val="Fuentedeprrafopredeter"/>
    <w:link w:val="ICABRautor"/>
    <w:rsid w:val="009226F8"/>
    <w:rPr>
      <w:rFonts w:ascii="Arial" w:hAnsi="Arial"/>
      <w:b/>
      <w:noProof/>
      <w:sz w:val="22"/>
      <w:lang w:val="cs-CZ" w:eastAsia="cs-CZ"/>
    </w:rPr>
  </w:style>
  <w:style w:type="character" w:customStyle="1" w:styleId="ICABRco-author1Char">
    <w:name w:val="ICABR co-author1 Char"/>
    <w:basedOn w:val="ICABRautorChar"/>
    <w:link w:val="ICABRco-author1"/>
    <w:rsid w:val="009226F8"/>
  </w:style>
</w:styles>
</file>

<file path=word/webSettings.xml><?xml version="1.0" encoding="utf-8"?>
<w:webSettings xmlns:r="http://schemas.openxmlformats.org/officeDocument/2006/relationships" xmlns:w="http://schemas.openxmlformats.org/wordprocessingml/2006/main">
  <w:divs>
    <w:div w:id="184877105">
      <w:bodyDiv w:val="1"/>
      <w:marLeft w:val="0"/>
      <w:marRight w:val="0"/>
      <w:marTop w:val="0"/>
      <w:marBottom w:val="0"/>
      <w:divBdr>
        <w:top w:val="none" w:sz="0" w:space="0" w:color="auto"/>
        <w:left w:val="none" w:sz="0" w:space="0" w:color="auto"/>
        <w:bottom w:val="none" w:sz="0" w:space="0" w:color="auto"/>
        <w:right w:val="none" w:sz="0" w:space="0" w:color="auto"/>
      </w:divBdr>
    </w:div>
    <w:div w:id="2194369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201">
          <w:marLeft w:val="240"/>
          <w:marRight w:val="480"/>
          <w:marTop w:val="120"/>
          <w:marBottom w:val="0"/>
          <w:divBdr>
            <w:top w:val="none" w:sz="0" w:space="0" w:color="auto"/>
            <w:left w:val="none" w:sz="0" w:space="0" w:color="auto"/>
            <w:bottom w:val="none" w:sz="0" w:space="0" w:color="auto"/>
            <w:right w:val="none" w:sz="0" w:space="0" w:color="auto"/>
          </w:divBdr>
        </w:div>
      </w:divsChild>
    </w:div>
    <w:div w:id="752512717">
      <w:bodyDiv w:val="1"/>
      <w:marLeft w:val="0"/>
      <w:marRight w:val="0"/>
      <w:marTop w:val="0"/>
      <w:marBottom w:val="0"/>
      <w:divBdr>
        <w:top w:val="none" w:sz="0" w:space="0" w:color="auto"/>
        <w:left w:val="none" w:sz="0" w:space="0" w:color="auto"/>
        <w:bottom w:val="none" w:sz="0" w:space="0" w:color="auto"/>
        <w:right w:val="none" w:sz="0" w:space="0" w:color="auto"/>
      </w:divBdr>
    </w:div>
    <w:div w:id="824857679">
      <w:bodyDiv w:val="1"/>
      <w:marLeft w:val="0"/>
      <w:marRight w:val="0"/>
      <w:marTop w:val="0"/>
      <w:marBottom w:val="0"/>
      <w:divBdr>
        <w:top w:val="none" w:sz="0" w:space="0" w:color="auto"/>
        <w:left w:val="none" w:sz="0" w:space="0" w:color="auto"/>
        <w:bottom w:val="none" w:sz="0" w:space="0" w:color="auto"/>
        <w:right w:val="none" w:sz="0" w:space="0" w:color="auto"/>
      </w:divBdr>
    </w:div>
    <w:div w:id="1283463324">
      <w:bodyDiv w:val="1"/>
      <w:marLeft w:val="0"/>
      <w:marRight w:val="0"/>
      <w:marTop w:val="0"/>
      <w:marBottom w:val="0"/>
      <w:divBdr>
        <w:top w:val="none" w:sz="0" w:space="0" w:color="auto"/>
        <w:left w:val="none" w:sz="0" w:space="0" w:color="auto"/>
        <w:bottom w:val="none" w:sz="0" w:space="0" w:color="auto"/>
        <w:right w:val="none" w:sz="0" w:space="0" w:color="auto"/>
      </w:divBdr>
      <w:divsChild>
        <w:div w:id="1067922094">
          <w:marLeft w:val="240"/>
          <w:marRight w:val="480"/>
          <w:marTop w:val="120"/>
          <w:marBottom w:val="0"/>
          <w:divBdr>
            <w:top w:val="none" w:sz="0" w:space="0" w:color="auto"/>
            <w:left w:val="none" w:sz="0" w:space="0" w:color="auto"/>
            <w:bottom w:val="none" w:sz="0" w:space="0" w:color="auto"/>
            <w:right w:val="none" w:sz="0" w:space="0" w:color="auto"/>
          </w:divBdr>
        </w:div>
      </w:divsChild>
    </w:div>
    <w:div w:id="207593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23</Pages>
  <Words>6907</Words>
  <Characters>37994</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AECR</Company>
  <LinksUpToDate>false</LinksUpToDate>
  <CharactersWithSpaces>44812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AECR</dc:creator>
  <cp:lastModifiedBy>Joaquín</cp:lastModifiedBy>
  <cp:revision>9</cp:revision>
  <dcterms:created xsi:type="dcterms:W3CDTF">2017-09-28T14:33:00Z</dcterms:created>
  <dcterms:modified xsi:type="dcterms:W3CDTF">2017-09-28T16:28:00Z</dcterms:modified>
</cp:coreProperties>
</file>